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4F" w:rsidRPr="00B05B2E" w:rsidRDefault="0064104F" w:rsidP="00074DD8">
      <w:pPr>
        <w:pStyle w:val="tytuinformacji"/>
        <w:rPr>
          <w:sz w:val="32"/>
          <w:szCs w:val="32"/>
          <w:shd w:val="clear" w:color="auto" w:fill="FFFFFF"/>
        </w:rPr>
      </w:pPr>
      <w:r w:rsidRPr="00B05B2E">
        <w:rPr>
          <w:sz w:val="32"/>
          <w:szCs w:val="32"/>
        </w:rPr>
        <w:t xml:space="preserve">Budownictwo </w:t>
      </w:r>
      <w:r w:rsidR="00593509" w:rsidRPr="00B05B2E">
        <w:rPr>
          <w:sz w:val="32"/>
          <w:szCs w:val="32"/>
        </w:rPr>
        <w:t xml:space="preserve">niemieszkaniowe w I kwartale </w:t>
      </w:r>
      <w:r w:rsidRPr="00B05B2E">
        <w:rPr>
          <w:sz w:val="32"/>
          <w:szCs w:val="32"/>
          <w:shd w:val="clear" w:color="auto" w:fill="FFFFFF"/>
        </w:rPr>
        <w:t>201</w:t>
      </w:r>
      <w:r w:rsidR="00F8742E" w:rsidRPr="00B05B2E">
        <w:rPr>
          <w:sz w:val="32"/>
          <w:szCs w:val="32"/>
          <w:shd w:val="clear" w:color="auto" w:fill="FFFFFF"/>
        </w:rPr>
        <w:t xml:space="preserve">8 </w:t>
      </w:r>
      <w:r w:rsidRPr="00B05B2E">
        <w:rPr>
          <w:sz w:val="32"/>
          <w:szCs w:val="32"/>
          <w:shd w:val="clear" w:color="auto" w:fill="FFFFFF"/>
        </w:rPr>
        <w:t>r.</w:t>
      </w:r>
    </w:p>
    <w:p w:rsidR="0064104F" w:rsidRPr="004466B1" w:rsidRDefault="00660957" w:rsidP="00074DD8">
      <w:pPr>
        <w:pStyle w:val="tytuinformacji"/>
        <w:rPr>
          <w:sz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1038" type="#_x0000_t202" style="position:absolute;margin-left:410.8pt;margin-top:17.7pt;width:138.55pt;height:107.25pt;z-index:-251648512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" filled="f" stroked="f">
            <v:textbox>
              <w:txbxContent>
                <w:p w:rsidR="00610965" w:rsidRPr="000E2191" w:rsidRDefault="00610965" w:rsidP="00610965">
                  <w:pPr>
                    <w:pStyle w:val="tekstzboku"/>
                    <w:rPr>
                      <w:bCs w:val="0"/>
                      <w:sz w:val="19"/>
                      <w:szCs w:val="19"/>
                      <w:lang w:val="en-GB"/>
                    </w:rPr>
                  </w:pPr>
                  <w:r w:rsidRPr="000E2191">
                    <w:rPr>
                      <w:sz w:val="19"/>
                      <w:szCs w:val="19"/>
                      <w:lang w:val="en-GB"/>
                    </w:rPr>
                    <w:t xml:space="preserve">Mniejsza liczba nowych budynków niemieszkalnych oddanych do użytkowania </w:t>
                  </w:r>
                  <w:r w:rsidRPr="000E2191">
                    <w:rPr>
                      <w:sz w:val="19"/>
                      <w:szCs w:val="19"/>
                      <w:lang w:val="en-GB"/>
                    </w:rPr>
                    <w:br/>
                    <w:t>w I kw. 2018 r.</w:t>
                  </w:r>
                </w:p>
              </w:txbxContent>
            </v:textbox>
            <w10:wrap type="tight"/>
          </v:shape>
        </w:pict>
      </w:r>
    </w:p>
    <w:p w:rsidR="00A04304" w:rsidRDefault="00660957" w:rsidP="00A20F36">
      <w:pPr>
        <w:pStyle w:val="LID"/>
      </w:pPr>
      <w:r>
        <w:pict>
          <v:shape id="_x0000_s1028" type="#_x0000_t202" style="position:absolute;margin-left:0;margin-top:5.9pt;width:2in;height:115.15pt;z-index:251658240;visibility:visible;mso-wrap-distance-top:3.6pt;mso-wrap-distance-bottom:3.6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<v:textbox style="mso-next-textbox:#_x0000_s1028">
              <w:txbxContent>
                <w:p w:rsidR="0064104F" w:rsidRPr="001A5784" w:rsidRDefault="00360544" w:rsidP="006F4043">
                  <w:pPr>
                    <w:spacing w:after="0" w:line="240" w:lineRule="auto"/>
                    <w:rPr>
                      <w:rFonts w:ascii="Fira Sans SemiBold" w:hAnsi="Fira Sans SemiBold"/>
                      <w:color w:val="1F497D" w:themeColor="text2"/>
                      <w:sz w:val="72"/>
                    </w:rPr>
                  </w:pPr>
                  <w:r w:rsidRPr="00284612">
                    <w:rPr>
                      <w:rFonts w:ascii="Fira Sans Light" w:hAnsi="Fira Sans Light"/>
                      <w:b/>
                      <w:noProof/>
                      <w:color w:val="002060"/>
                      <w:sz w:val="22"/>
                      <w:shd w:val="clear" w:color="auto" w:fill="001D77"/>
                      <w:lang w:eastAsia="pl-PL"/>
                    </w:rPr>
                    <w:drawing>
                      <wp:inline distT="0" distB="0" distL="0" distR="0">
                        <wp:extent cx="342900" cy="342900"/>
                        <wp:effectExtent l="38100" t="38100" r="0" b="19050"/>
                        <wp:docPr id="2" name="Obraz 3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/>
                                <a:srcRect r="-372" b="-22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scene3d>
                                  <a:camera prst="orthographicFront">
                                    <a:rot lat="1200000" lon="21000000" rev="10800000"/>
                                  </a:camera>
                                  <a:lightRig rig="threePt" dir="t"/>
                                </a:scene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D0ECD">
                    <w:rPr>
                      <w:rFonts w:ascii="Fira Sans SemiBold" w:hAnsi="Fira Sans SemiBold"/>
                      <w:color w:val="FFFFFF"/>
                      <w:sz w:val="72"/>
                    </w:rPr>
                    <w:t>1</w:t>
                  </w:r>
                  <w:r w:rsidR="00734CF1">
                    <w:rPr>
                      <w:rFonts w:ascii="Fira Sans SemiBold" w:hAnsi="Fira Sans SemiBold"/>
                      <w:color w:val="FFFFFF"/>
                      <w:sz w:val="72"/>
                    </w:rPr>
                    <w:t>0</w:t>
                  </w:r>
                  <w:r w:rsidR="0064104F" w:rsidRPr="0050555C">
                    <w:rPr>
                      <w:rFonts w:ascii="Fira Sans SemiBold" w:hAnsi="Fira Sans SemiBold"/>
                      <w:color w:val="FFFFFF"/>
                      <w:sz w:val="72"/>
                    </w:rPr>
                    <w:t>,</w:t>
                  </w:r>
                  <w:r w:rsidR="00734CF1">
                    <w:rPr>
                      <w:rFonts w:ascii="Fira Sans SemiBold" w:hAnsi="Fira Sans SemiBold"/>
                      <w:color w:val="FFFFFF"/>
                      <w:sz w:val="72"/>
                    </w:rPr>
                    <w:t>9</w:t>
                  </w:r>
                </w:p>
                <w:p w:rsidR="00DB397E" w:rsidRDefault="00734CF1" w:rsidP="00313891">
                  <w:pPr>
                    <w:pStyle w:val="tekstnaniebieskimtle"/>
                    <w:rPr>
                      <w:color w:val="FFFFFF"/>
                      <w:sz w:val="18"/>
                      <w:szCs w:val="20"/>
                    </w:rPr>
                  </w:pPr>
                  <w:r>
                    <w:t xml:space="preserve">Spadek </w:t>
                  </w:r>
                  <w:r w:rsidR="00DB397E">
                    <w:t xml:space="preserve">powierzchni użytkowej </w:t>
                  </w:r>
                  <w:r w:rsidR="002B7514">
                    <w:t xml:space="preserve">nowych </w:t>
                  </w:r>
                  <w:r w:rsidR="00DB397E">
                    <w:t>budynków niemieszkalnych oddanych do użytkowania</w:t>
                  </w:r>
                  <w:r w:rsidR="00027B92">
                    <w:t xml:space="preserve"> </w:t>
                  </w:r>
                </w:p>
                <w:p w:rsidR="0064104F" w:rsidRPr="0050555C" w:rsidRDefault="0064104F" w:rsidP="00DB397E">
                  <w:pPr>
                    <w:pStyle w:val="tekstnaniebieskimtle"/>
                    <w:rPr>
                      <w:color w:val="FFFFFF"/>
                      <w:sz w:val="18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>
        <w:pict>
          <v:shape id="_x0000_s1030" type="#_x0000_t202" style="position:absolute;margin-left:252.55pt;margin-top:106.75pt;width:153.1pt;height:3.55pt;z-index:-251656192;visibility:visible;mso-wrap-distance-top:3.6pt;mso-wrap-distance-bottom:3.6pt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<v:textbox style="mso-next-textbox:#_x0000_s1030">
              <w:txbxContent>
                <w:p w:rsidR="0064104F" w:rsidRPr="00A04304" w:rsidRDefault="0064104F" w:rsidP="00A04304">
                  <w:pPr>
                    <w:rPr>
                      <w:szCs w:val="18"/>
                    </w:rPr>
                  </w:pPr>
                </w:p>
              </w:txbxContent>
            </v:textbox>
            <w10:wrap type="tight"/>
          </v:shape>
        </w:pict>
      </w:r>
      <w:r>
        <w:pict>
          <v:shape id="_x0000_s1026" type="#_x0000_t202" style="position:absolute;margin-left:0;margin-top:6.55pt;width:2in;height:82.35pt;z-index:251656192;visibility:visible;mso-wrap-distance-top:3.6pt;mso-wrap-distance-bottom:3.6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<v:textbox style="mso-next-textbox:#_x0000_s1026">
              <w:txbxContent>
                <w:p w:rsidR="0064104F" w:rsidRPr="000E41A2" w:rsidRDefault="00360544" w:rsidP="00633014">
                  <w:pPr>
                    <w:spacing w:after="0" w:line="240" w:lineRule="auto"/>
                    <w:rPr>
                      <w:rFonts w:ascii="Fira Sans SemiBold" w:hAnsi="Fira Sans SemiBold"/>
                      <w:color w:val="FFFFFF"/>
                      <w:sz w:val="72"/>
                      <w:lang w:val="en-US"/>
                    </w:rPr>
                  </w:pPr>
                  <w:r>
                    <w:rPr>
                      <w:rFonts w:ascii="Fira Sans Light" w:hAnsi="Fira Sans Light"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>
                        <wp:extent cx="333375" cy="333375"/>
                        <wp:effectExtent l="19050" t="0" r="9525" b="0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4104F" w:rsidRPr="000E41A2">
                    <w:rPr>
                      <w:noProof/>
                      <w:color w:val="001D77"/>
                      <w:lang w:val="en-US" w:eastAsia="pl-PL"/>
                    </w:rPr>
                    <w:t xml:space="preserve"> </w:t>
                  </w:r>
                  <w:r w:rsidR="0064104F" w:rsidRPr="000E41A2">
                    <w:rPr>
                      <w:rFonts w:ascii="Fira Sans SemiBold" w:hAnsi="Fira Sans SemiBold"/>
                      <w:color w:val="FFFFFF"/>
                      <w:sz w:val="72"/>
                      <w:lang w:val="en-US"/>
                    </w:rPr>
                    <w:t>100,5</w:t>
                  </w:r>
                </w:p>
                <w:p w:rsidR="0064104F" w:rsidRPr="0050555C" w:rsidRDefault="0064104F" w:rsidP="00074DD8">
                  <w:pPr>
                    <w:pStyle w:val="tekstnaniebieskimtle"/>
                    <w:rPr>
                      <w:color w:val="FFFFFF"/>
                      <w:sz w:val="18"/>
                      <w:szCs w:val="20"/>
                      <w:lang w:val="en-US"/>
                    </w:rPr>
                  </w:pPr>
                  <w:r w:rsidRPr="00F64AC1">
                    <w:rPr>
                      <w:lang w:val="en-US"/>
                    </w:rPr>
                    <w:t>Lorem ipsum dolor sit amet, consectetur adipiscing elit</w:t>
                  </w:r>
                </w:p>
              </w:txbxContent>
            </v:textbox>
            <w10:wrap type="square" anchorx="margin"/>
          </v:shape>
        </w:pict>
      </w:r>
      <w:r w:rsidR="00726610">
        <w:t xml:space="preserve">W </w:t>
      </w:r>
      <w:r w:rsidR="00416A63">
        <w:t>I kwart</w:t>
      </w:r>
      <w:r w:rsidR="00593509">
        <w:t xml:space="preserve">ale </w:t>
      </w:r>
      <w:r w:rsidR="00726610">
        <w:t>201</w:t>
      </w:r>
      <w:r w:rsidR="00F8742E">
        <w:t>8</w:t>
      </w:r>
      <w:r w:rsidR="00726610">
        <w:t xml:space="preserve"> r. liczba nowych budynków niemie</w:t>
      </w:r>
      <w:bookmarkStart w:id="0" w:name="_GoBack"/>
      <w:bookmarkEnd w:id="0"/>
      <w:r w:rsidR="00726610">
        <w:t xml:space="preserve">szkalnych oddanych do użytkowania oraz ich powierzchnia użytkowa była </w:t>
      </w:r>
      <w:r w:rsidR="00550223">
        <w:t>mniejsza</w:t>
      </w:r>
      <w:r w:rsidR="00726610">
        <w:t xml:space="preserve"> niż w </w:t>
      </w:r>
      <w:r w:rsidR="00683284">
        <w:t>analogicznym okresie poprzedniego roku</w:t>
      </w:r>
      <w:r w:rsidR="00726610">
        <w:t xml:space="preserve">. </w:t>
      </w:r>
      <w:r w:rsidR="00683284">
        <w:t xml:space="preserve">                                    </w:t>
      </w:r>
      <w:r w:rsidR="00726610">
        <w:t xml:space="preserve">Zmniejszyła się </w:t>
      </w:r>
      <w:r w:rsidR="00550223">
        <w:t>również</w:t>
      </w:r>
      <w:r w:rsidR="00726610">
        <w:t xml:space="preserve"> liczba budynków niemie</w:t>
      </w:r>
      <w:r w:rsidR="00BD31C8">
        <w:t>s</w:t>
      </w:r>
      <w:r w:rsidR="00726610">
        <w:t>zkalnych, na których budowę wydano pozwolenia lub dokonano zgłoszenia z projektem budowlanym</w:t>
      </w:r>
      <w:r w:rsidR="00BD6DC0">
        <w:t>,</w:t>
      </w:r>
      <w:r w:rsidR="00726610">
        <w:t xml:space="preserve"> </w:t>
      </w:r>
      <w:r w:rsidR="00FA6130">
        <w:t>natomiast</w:t>
      </w:r>
      <w:r w:rsidR="00550223">
        <w:t xml:space="preserve"> </w:t>
      </w:r>
      <w:r w:rsidR="00CF0937">
        <w:t xml:space="preserve">odnotowano </w:t>
      </w:r>
      <w:r w:rsidR="00550223">
        <w:t>wzros</w:t>
      </w:r>
      <w:r w:rsidR="00CF0937">
        <w:t>t</w:t>
      </w:r>
      <w:r w:rsidR="00550223">
        <w:t xml:space="preserve"> </w:t>
      </w:r>
      <w:r w:rsidR="00726610">
        <w:t>ich powierzchni użytkow</w:t>
      </w:r>
      <w:r w:rsidR="00CF0937">
        <w:t>ej</w:t>
      </w:r>
      <w:r w:rsidR="00726610">
        <w:t xml:space="preserve">. </w:t>
      </w:r>
    </w:p>
    <w:p w:rsidR="00FA6130" w:rsidRDefault="00660957" w:rsidP="008D09F3">
      <w:pPr>
        <w:pStyle w:val="Nagwek1"/>
        <w:ind w:right="-84"/>
        <w:rPr>
          <w:rFonts w:ascii="Fira Sans" w:hAnsi="Fira Sans"/>
          <w:color w:val="auto"/>
          <w:sz w:val="19"/>
          <w:szCs w:val="19"/>
          <w:shd w:val="clear" w:color="auto" w:fill="FFFFFF"/>
        </w:rPr>
      </w:pPr>
      <w:r>
        <w:rPr>
          <w:noProof/>
          <w:lang w:eastAsia="en-US"/>
        </w:rPr>
        <w:pict>
          <v:shape id="_x0000_s1032" type="#_x0000_t202" style="position:absolute;margin-left:266.25pt;margin-top:19pt;width:129pt;height:129.6pt;z-index:-251654144;visibility:visible;mso-wrap-distance-top:3.6pt;mso-wrap-distance-bottom:3.6pt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" filled="f" stroked="f">
            <v:textbox style="mso-next-textbox:#_x0000_s1032">
              <w:txbxContent>
                <w:p w:rsidR="002E5257" w:rsidRPr="009E0D29" w:rsidRDefault="002E5257" w:rsidP="002E5257">
                  <w:pPr>
                    <w:pStyle w:val="tekstzboku"/>
                    <w:ind w:left="-171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Największ</w:t>
                  </w:r>
                  <w:r w:rsidR="00D44740">
                    <w:rPr>
                      <w:sz w:val="19"/>
                      <w:szCs w:val="19"/>
                    </w:rPr>
                    <w:t>e</w:t>
                  </w:r>
                  <w:r>
                    <w:rPr>
                      <w:sz w:val="19"/>
                      <w:szCs w:val="19"/>
                    </w:rPr>
                    <w:t xml:space="preserve"> </w:t>
                  </w:r>
                  <w:r w:rsidR="00D44740">
                    <w:rPr>
                      <w:sz w:val="19"/>
                      <w:szCs w:val="19"/>
                    </w:rPr>
                    <w:t>zainteresowanie</w:t>
                  </w:r>
                  <w:r>
                    <w:rPr>
                      <w:sz w:val="19"/>
                      <w:szCs w:val="19"/>
                    </w:rPr>
                    <w:t xml:space="preserve"> inwestorów dotyczył</w:t>
                  </w:r>
                  <w:r w:rsidR="00D44740">
                    <w:rPr>
                      <w:sz w:val="19"/>
                      <w:szCs w:val="19"/>
                    </w:rPr>
                    <w:t xml:space="preserve">o </w:t>
                  </w:r>
                  <w:r>
                    <w:rPr>
                      <w:sz w:val="19"/>
                      <w:szCs w:val="19"/>
                    </w:rPr>
                    <w:t xml:space="preserve">zbiorników, silosów </w:t>
                  </w:r>
                  <w:r w:rsidR="00FE51A2">
                    <w:rPr>
                      <w:sz w:val="19"/>
                      <w:szCs w:val="19"/>
                    </w:rPr>
                    <w:br/>
                  </w:r>
                  <w:r>
                    <w:rPr>
                      <w:sz w:val="19"/>
                      <w:szCs w:val="19"/>
                    </w:rPr>
                    <w:t>i budynków magazynowych, ale ich p</w:t>
                  </w:r>
                  <w:r w:rsidRPr="009E0D29">
                    <w:rPr>
                      <w:sz w:val="19"/>
                      <w:szCs w:val="19"/>
                    </w:rPr>
                    <w:t>owierzchnia użytkowa</w:t>
                  </w:r>
                  <w:r>
                    <w:rPr>
                      <w:sz w:val="19"/>
                      <w:szCs w:val="19"/>
                    </w:rPr>
                    <w:t xml:space="preserve"> oddana do użytkowania była mniejsza </w:t>
                  </w:r>
                  <w:r w:rsidR="00D44740">
                    <w:rPr>
                      <w:sz w:val="19"/>
                      <w:szCs w:val="19"/>
                    </w:rPr>
                    <w:t>niż przed rokiem</w:t>
                  </w:r>
                </w:p>
                <w:p w:rsidR="002E5257" w:rsidRDefault="002E5257" w:rsidP="002E5257">
                  <w:pPr>
                    <w:pStyle w:val="tekstzboku"/>
                  </w:pPr>
                </w:p>
                <w:p w:rsidR="0064104F" w:rsidRPr="009E0D29" w:rsidRDefault="0064104F" w:rsidP="00C168D4">
                  <w:pPr>
                    <w:pStyle w:val="tekstzboku"/>
                    <w:ind w:left="-171"/>
                    <w:rPr>
                      <w:sz w:val="19"/>
                      <w:szCs w:val="19"/>
                    </w:rPr>
                  </w:pPr>
                </w:p>
                <w:p w:rsidR="0064104F" w:rsidRDefault="0064104F" w:rsidP="002D1C52">
                  <w:pPr>
                    <w:pStyle w:val="tekstzboku"/>
                  </w:pPr>
                </w:p>
                <w:p w:rsidR="0064104F" w:rsidRDefault="0064104F" w:rsidP="002D1C52">
                  <w:pPr>
                    <w:pStyle w:val="tekstzboku"/>
                  </w:pPr>
                </w:p>
                <w:p w:rsidR="0064104F" w:rsidRDefault="0064104F" w:rsidP="002D1C52">
                  <w:pPr>
                    <w:pStyle w:val="tekstzboku"/>
                  </w:pPr>
                </w:p>
                <w:p w:rsidR="0064104F" w:rsidRDefault="0064104F" w:rsidP="002D1C52">
                  <w:pPr>
                    <w:pStyle w:val="tekstzboku"/>
                  </w:pPr>
                </w:p>
                <w:p w:rsidR="0064104F" w:rsidRDefault="0064104F" w:rsidP="002D1C52">
                  <w:pPr>
                    <w:pStyle w:val="tekstzboku"/>
                  </w:pPr>
                </w:p>
                <w:p w:rsidR="0064104F" w:rsidRDefault="0064104F" w:rsidP="002D1C52">
                  <w:pPr>
                    <w:pStyle w:val="tekstzboku"/>
                  </w:pPr>
                </w:p>
                <w:p w:rsidR="0064104F" w:rsidRDefault="0064104F" w:rsidP="002D1C52">
                  <w:pPr>
                    <w:pStyle w:val="tekstzboku"/>
                  </w:pPr>
                </w:p>
                <w:p w:rsidR="0064104F" w:rsidRPr="002D1C52" w:rsidRDefault="0064104F" w:rsidP="00090877">
                  <w:pPr>
                    <w:pStyle w:val="tekstzboku"/>
                  </w:pPr>
                </w:p>
              </w:txbxContent>
            </v:textbox>
            <w10:wrap type="tight"/>
          </v:shape>
        </w:pict>
      </w:r>
    </w:p>
    <w:p w:rsidR="0064104F" w:rsidRPr="006D3B7E" w:rsidRDefault="006D3B7E" w:rsidP="00FE51A2">
      <w:pPr>
        <w:pStyle w:val="Nagwek1"/>
        <w:ind w:right="-84"/>
        <w:rPr>
          <w:rFonts w:ascii="Fira Sans" w:hAnsi="Fira Sans"/>
          <w:color w:val="auto"/>
          <w:sz w:val="19"/>
          <w:szCs w:val="19"/>
          <w:shd w:val="clear" w:color="auto" w:fill="FFFFFF"/>
        </w:rPr>
      </w:pP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W </w:t>
      </w:r>
      <w:r w:rsidR="00CC3D49">
        <w:rPr>
          <w:rFonts w:ascii="Fira Sans" w:hAnsi="Fira Sans"/>
          <w:color w:val="auto"/>
          <w:sz w:val="19"/>
          <w:szCs w:val="19"/>
          <w:shd w:val="clear" w:color="auto" w:fill="FFFFFF"/>
        </w:rPr>
        <w:t>I kw.</w:t>
      </w:r>
      <w:r w:rsidR="0085095B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>201</w:t>
      </w:r>
      <w:r w:rsidR="0085095B">
        <w:rPr>
          <w:rFonts w:ascii="Fira Sans" w:hAnsi="Fira Sans"/>
          <w:color w:val="auto"/>
          <w:sz w:val="19"/>
          <w:szCs w:val="19"/>
          <w:shd w:val="clear" w:color="auto" w:fill="FFFFFF"/>
        </w:rPr>
        <w:t>8</w:t>
      </w:r>
      <w:r w:rsidR="00550223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r. oddano do użytkowania 5604</w:t>
      </w:r>
      <w:r w:rsidR="004C00DF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now</w:t>
      </w:r>
      <w:r w:rsidR="00550223">
        <w:rPr>
          <w:rFonts w:ascii="Fira Sans" w:hAnsi="Fira Sans"/>
          <w:color w:val="auto"/>
          <w:sz w:val="19"/>
          <w:szCs w:val="19"/>
          <w:shd w:val="clear" w:color="auto" w:fill="FFFFFF"/>
        </w:rPr>
        <w:t>e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budynk</w:t>
      </w:r>
      <w:r w:rsidR="004C00DF">
        <w:rPr>
          <w:rFonts w:ascii="Fira Sans" w:hAnsi="Fira Sans"/>
          <w:color w:val="auto"/>
          <w:sz w:val="19"/>
          <w:szCs w:val="19"/>
          <w:shd w:val="clear" w:color="auto" w:fill="FFFFFF"/>
        </w:rPr>
        <w:t>i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niemieszkaln</w:t>
      </w:r>
      <w:r w:rsidR="004C00DF">
        <w:rPr>
          <w:rFonts w:ascii="Fira Sans" w:hAnsi="Fira Sans"/>
          <w:color w:val="auto"/>
          <w:sz w:val="19"/>
          <w:szCs w:val="19"/>
          <w:shd w:val="clear" w:color="auto" w:fill="FFFFFF"/>
        </w:rPr>
        <w:t>e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(wobec </w:t>
      </w:r>
      <w:r w:rsidR="00550223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5679 </w:t>
      </w:r>
      <w:r w:rsidR="00CC3D49">
        <w:rPr>
          <w:rFonts w:ascii="Fira Sans" w:hAnsi="Fira Sans"/>
          <w:color w:val="auto"/>
          <w:sz w:val="19"/>
          <w:szCs w:val="19"/>
          <w:shd w:val="clear" w:color="auto" w:fill="FFFFFF"/>
        </w:rPr>
        <w:t>przed</w:t>
      </w:r>
      <w:r w:rsidR="00556E5D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</w:t>
      </w:r>
      <w:r w:rsidR="00CC3D49">
        <w:rPr>
          <w:rFonts w:ascii="Fira Sans" w:hAnsi="Fira Sans"/>
          <w:color w:val="auto"/>
          <w:sz w:val="19"/>
          <w:szCs w:val="19"/>
          <w:shd w:val="clear" w:color="auto" w:fill="FFFFFF"/>
        </w:rPr>
        <w:t>rokiem)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o powierzchni użytkowej</w:t>
      </w:r>
      <w:r w:rsidR="00550223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3118</w:t>
      </w:r>
      <w:r w:rsidR="00D6027A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</w:t>
      </w:r>
      <w:r w:rsidR="0071324F">
        <w:rPr>
          <w:rFonts w:ascii="Fira Sans" w:hAnsi="Fira Sans"/>
          <w:color w:val="auto"/>
          <w:sz w:val="19"/>
          <w:szCs w:val="19"/>
          <w:shd w:val="clear" w:color="auto" w:fill="FFFFFF"/>
        </w:rPr>
        <w:t>tys.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>m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  <w:vertAlign w:val="superscript"/>
        </w:rPr>
        <w:t>2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(tj. o </w:t>
      </w:r>
      <w:r w:rsidR="00550223">
        <w:rPr>
          <w:rFonts w:ascii="Fira Sans" w:hAnsi="Fira Sans"/>
          <w:color w:val="auto"/>
          <w:sz w:val="19"/>
          <w:szCs w:val="19"/>
          <w:shd w:val="clear" w:color="auto" w:fill="FFFFFF"/>
        </w:rPr>
        <w:t>10,9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% </w:t>
      </w:r>
      <w:r w:rsidR="00550223">
        <w:rPr>
          <w:rFonts w:ascii="Fira Sans" w:hAnsi="Fira Sans"/>
          <w:color w:val="auto"/>
          <w:sz w:val="19"/>
          <w:szCs w:val="19"/>
          <w:shd w:val="clear" w:color="auto" w:fill="FFFFFF"/>
        </w:rPr>
        <w:t>mniej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). </w:t>
      </w:r>
      <w:r w:rsidR="008E6225">
        <w:rPr>
          <w:rFonts w:ascii="Fira Sans" w:hAnsi="Fira Sans"/>
          <w:color w:val="auto"/>
          <w:sz w:val="19"/>
          <w:szCs w:val="19"/>
          <w:shd w:val="clear" w:color="auto" w:fill="FFFFFF"/>
        </w:rPr>
        <w:t>Blisko</w:t>
      </w:r>
      <w:r w:rsidR="00A06C38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</w:t>
      </w:r>
      <w:r w:rsidR="008E6225">
        <w:rPr>
          <w:rFonts w:ascii="Fira Sans" w:hAnsi="Fira Sans"/>
          <w:color w:val="auto"/>
          <w:sz w:val="19"/>
          <w:szCs w:val="19"/>
          <w:shd w:val="clear" w:color="auto" w:fill="FFFFFF"/>
        </w:rPr>
        <w:t>90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% ogółu powierzchni </w:t>
      </w:r>
      <w:r w:rsidR="00CF0937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oddanej </w:t>
      </w:r>
      <w:r w:rsidR="00FA6130">
        <w:rPr>
          <w:rFonts w:ascii="Fira Sans" w:hAnsi="Fira Sans"/>
          <w:color w:val="auto"/>
          <w:sz w:val="19"/>
          <w:szCs w:val="19"/>
          <w:shd w:val="clear" w:color="auto" w:fill="FFFFFF"/>
        </w:rPr>
        <w:t>d</w:t>
      </w:r>
      <w:r w:rsidR="00CF0937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o użytkowania 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>dotyczyło pięciu rodzajów budynków (zbiorników, silosów i budynków magazynowych</w:t>
      </w:r>
      <w:r w:rsidR="00732601">
        <w:rPr>
          <w:rFonts w:ascii="Fira Sans" w:hAnsi="Fira Sans"/>
          <w:color w:val="auto"/>
          <w:sz w:val="19"/>
          <w:szCs w:val="19"/>
          <w:shd w:val="clear" w:color="auto" w:fill="FFFFFF"/>
        </w:rPr>
        <w:t>;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</w:t>
      </w:r>
      <w:r w:rsidR="00734CF1">
        <w:rPr>
          <w:rFonts w:ascii="Fira Sans" w:hAnsi="Fira Sans"/>
          <w:color w:val="auto"/>
          <w:sz w:val="19"/>
          <w:szCs w:val="19"/>
          <w:shd w:val="clear" w:color="auto" w:fill="FFFFFF"/>
        </w:rPr>
        <w:t>budynków</w:t>
      </w:r>
      <w:r w:rsidR="00734CF1"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gospodarstw rolnych</w:t>
      </w:r>
      <w:r w:rsidR="00C769EB">
        <w:rPr>
          <w:rFonts w:ascii="Fira Sans" w:hAnsi="Fira Sans"/>
          <w:color w:val="auto"/>
          <w:sz w:val="19"/>
          <w:szCs w:val="19"/>
          <w:shd w:val="clear" w:color="auto" w:fill="FFFFFF"/>
        </w:rPr>
        <w:t>;</w:t>
      </w:r>
      <w:r w:rsidR="00734CF1"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>budynk</w:t>
      </w:r>
      <w:r>
        <w:rPr>
          <w:rFonts w:ascii="Fira Sans" w:hAnsi="Fira Sans"/>
          <w:color w:val="auto"/>
          <w:sz w:val="19"/>
          <w:szCs w:val="19"/>
          <w:shd w:val="clear" w:color="auto" w:fill="FFFFFF"/>
        </w:rPr>
        <w:t>ów</w:t>
      </w:r>
      <w:r w:rsidR="004C062B" w:rsidRPr="004C062B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</w:t>
      </w:r>
      <w:r w:rsidR="004C062B"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>handlowo-usługowych</w:t>
      </w:r>
      <w:r w:rsidR="004C062B">
        <w:rPr>
          <w:rFonts w:ascii="Fira Sans" w:hAnsi="Fira Sans"/>
          <w:color w:val="auto"/>
          <w:sz w:val="19"/>
          <w:szCs w:val="19"/>
          <w:shd w:val="clear" w:color="auto" w:fill="FFFFFF"/>
        </w:rPr>
        <w:t>;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</w:t>
      </w:r>
      <w:r w:rsidR="00C769EB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budynków 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>przemysłowych</w:t>
      </w:r>
      <w:r w:rsidR="00C769EB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i budynków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biurowych</w:t>
      </w:r>
      <w:r w:rsidR="000E4099">
        <w:rPr>
          <w:rFonts w:ascii="Fira Sans" w:hAnsi="Fira Sans"/>
          <w:color w:val="auto"/>
          <w:sz w:val="19"/>
          <w:szCs w:val="19"/>
          <w:shd w:val="clear" w:color="auto" w:fill="FFFFFF"/>
        </w:rPr>
        <w:t>)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>. Spośród nich największym popytem inwestorów cieszyły się zbiorniki, silosy i budynki magazynowe</w:t>
      </w:r>
      <w:r w:rsidR="004C062B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</w:t>
      </w:r>
      <w:r w:rsidR="0003165C">
        <w:rPr>
          <w:rFonts w:ascii="Fira Sans" w:hAnsi="Fira Sans"/>
          <w:color w:val="auto"/>
          <w:sz w:val="19"/>
          <w:szCs w:val="19"/>
          <w:shd w:val="clear" w:color="auto" w:fill="FFFFFF"/>
        </w:rPr>
        <w:t>(</w:t>
      </w:r>
      <w:r w:rsidR="004C062B">
        <w:rPr>
          <w:rFonts w:ascii="Fira Sans" w:hAnsi="Fira Sans"/>
          <w:color w:val="auto"/>
          <w:sz w:val="19"/>
          <w:szCs w:val="19"/>
          <w:shd w:val="clear" w:color="auto" w:fill="FFFFFF"/>
        </w:rPr>
        <w:t>ale ich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powierzchnia użytkowa oddana do użytkow</w:t>
      </w:r>
      <w:r w:rsidR="0045654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ania </w:t>
      </w:r>
      <w:r w:rsidR="00363693">
        <w:rPr>
          <w:rFonts w:ascii="Fira Sans" w:hAnsi="Fira Sans"/>
          <w:color w:val="auto"/>
          <w:sz w:val="19"/>
          <w:szCs w:val="19"/>
          <w:shd w:val="clear" w:color="auto" w:fill="FFFFFF"/>
        </w:rPr>
        <w:t>z</w:t>
      </w:r>
      <w:r w:rsidR="004C062B">
        <w:rPr>
          <w:rFonts w:ascii="Fira Sans" w:hAnsi="Fira Sans"/>
          <w:color w:val="auto"/>
          <w:sz w:val="19"/>
          <w:szCs w:val="19"/>
          <w:shd w:val="clear" w:color="auto" w:fill="FFFFFF"/>
        </w:rPr>
        <w:t>mniejszyła</w:t>
      </w:r>
      <w:r w:rsidR="0045654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</w:t>
      </w:r>
      <w:r w:rsidR="00363693">
        <w:rPr>
          <w:rFonts w:ascii="Fira Sans" w:hAnsi="Fira Sans"/>
          <w:color w:val="auto"/>
          <w:sz w:val="19"/>
          <w:szCs w:val="19"/>
          <w:shd w:val="clear" w:color="auto" w:fill="FFFFFF"/>
        </w:rPr>
        <w:t>się</w:t>
      </w:r>
      <w:r w:rsidR="00177231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w</w:t>
      </w:r>
      <w:r w:rsidR="00363693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porównaniu z</w:t>
      </w:r>
      <w:r w:rsidR="0045654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</w:t>
      </w:r>
      <w:r w:rsidR="00A8668F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I kw. </w:t>
      </w:r>
      <w:r w:rsidR="0045654E">
        <w:rPr>
          <w:rFonts w:ascii="Fira Sans" w:hAnsi="Fira Sans"/>
          <w:color w:val="auto"/>
          <w:sz w:val="19"/>
          <w:szCs w:val="19"/>
          <w:shd w:val="clear" w:color="auto" w:fill="FFFFFF"/>
        </w:rPr>
        <w:t>201</w:t>
      </w:r>
      <w:r w:rsidR="004954AA">
        <w:rPr>
          <w:rFonts w:ascii="Fira Sans" w:hAnsi="Fira Sans"/>
          <w:color w:val="auto"/>
          <w:sz w:val="19"/>
          <w:szCs w:val="19"/>
          <w:shd w:val="clear" w:color="auto" w:fill="FFFFFF"/>
        </w:rPr>
        <w:t>7</w:t>
      </w:r>
      <w:r w:rsidR="0045654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r.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o </w:t>
      </w:r>
      <w:r w:rsidR="004C062B">
        <w:rPr>
          <w:rFonts w:ascii="Fira Sans" w:hAnsi="Fira Sans"/>
          <w:color w:val="auto"/>
          <w:sz w:val="19"/>
          <w:szCs w:val="19"/>
          <w:shd w:val="clear" w:color="auto" w:fill="FFFFFF"/>
        </w:rPr>
        <w:t>22,0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>%</w:t>
      </w:r>
      <w:r w:rsidR="0003165C">
        <w:rPr>
          <w:rFonts w:ascii="Fira Sans" w:hAnsi="Fira Sans"/>
          <w:color w:val="auto"/>
          <w:sz w:val="19"/>
          <w:szCs w:val="19"/>
          <w:shd w:val="clear" w:color="auto" w:fill="FFFFFF"/>
        </w:rPr>
        <w:t>)</w:t>
      </w:r>
      <w:r w:rsidR="004C062B">
        <w:rPr>
          <w:rFonts w:ascii="Fira Sans" w:hAnsi="Fira Sans"/>
          <w:color w:val="auto"/>
          <w:sz w:val="19"/>
          <w:szCs w:val="19"/>
          <w:shd w:val="clear" w:color="auto" w:fill="FFFFFF"/>
        </w:rPr>
        <w:t>,</w:t>
      </w:r>
      <w:r w:rsidR="00CF0937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budynk</w:t>
      </w:r>
      <w:r w:rsidR="00FA6130">
        <w:rPr>
          <w:rFonts w:ascii="Fira Sans" w:hAnsi="Fira Sans"/>
          <w:color w:val="auto"/>
          <w:sz w:val="19"/>
          <w:szCs w:val="19"/>
          <w:shd w:val="clear" w:color="auto" w:fill="FFFFFF"/>
        </w:rPr>
        <w:t>i</w:t>
      </w:r>
      <w:r w:rsidR="00CF0937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gospodarstw rolnych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</w:t>
      </w:r>
      <w:r w:rsidR="00CF0937">
        <w:rPr>
          <w:rFonts w:ascii="Fira Sans" w:hAnsi="Fira Sans"/>
          <w:color w:val="auto"/>
          <w:sz w:val="19"/>
          <w:szCs w:val="19"/>
          <w:shd w:val="clear" w:color="auto" w:fill="FFFFFF"/>
        </w:rPr>
        <w:t>(</w:t>
      </w:r>
      <w:r w:rsidR="004C062B">
        <w:rPr>
          <w:rFonts w:ascii="Fira Sans" w:hAnsi="Fira Sans"/>
          <w:color w:val="auto"/>
          <w:sz w:val="19"/>
          <w:szCs w:val="19"/>
          <w:shd w:val="clear" w:color="auto" w:fill="FFFFFF"/>
        </w:rPr>
        <w:t>spadek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</w:t>
      </w:r>
      <w:r w:rsidR="00CF0937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powierzchni 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o </w:t>
      </w:r>
      <w:r w:rsidR="004C062B">
        <w:rPr>
          <w:rFonts w:ascii="Fira Sans" w:hAnsi="Fira Sans"/>
          <w:color w:val="auto"/>
          <w:sz w:val="19"/>
          <w:szCs w:val="19"/>
          <w:shd w:val="clear" w:color="auto" w:fill="FFFFFF"/>
        </w:rPr>
        <w:t>9,8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>%</w:t>
      </w:r>
      <w:r w:rsidR="00CF0937">
        <w:rPr>
          <w:rFonts w:ascii="Fira Sans" w:hAnsi="Fira Sans"/>
          <w:color w:val="auto"/>
          <w:sz w:val="19"/>
          <w:szCs w:val="19"/>
          <w:shd w:val="clear" w:color="auto" w:fill="FFFFFF"/>
        </w:rPr>
        <w:t>)</w:t>
      </w:r>
      <w:r w:rsidR="00734CF1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oraz</w:t>
      </w:r>
      <w:r w:rsidR="00734CF1" w:rsidRPr="00734CF1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</w:t>
      </w:r>
      <w:r w:rsidR="00734CF1"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>budynk</w:t>
      </w:r>
      <w:r w:rsidR="00FA6130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i </w:t>
      </w:r>
      <w:r w:rsidR="00734CF1">
        <w:rPr>
          <w:rFonts w:ascii="Fira Sans" w:hAnsi="Fira Sans"/>
          <w:color w:val="auto"/>
          <w:sz w:val="19"/>
          <w:szCs w:val="19"/>
        </w:rPr>
        <w:t>przemysło</w:t>
      </w:r>
      <w:r w:rsidR="00F11A4E">
        <w:rPr>
          <w:rFonts w:ascii="Fira Sans" w:hAnsi="Fira Sans"/>
          <w:color w:val="auto"/>
          <w:sz w:val="19"/>
          <w:szCs w:val="19"/>
        </w:rPr>
        <w:t>w</w:t>
      </w:r>
      <w:r w:rsidR="00FA6130">
        <w:rPr>
          <w:rFonts w:ascii="Fira Sans" w:hAnsi="Fira Sans"/>
          <w:color w:val="auto"/>
          <w:sz w:val="19"/>
          <w:szCs w:val="19"/>
        </w:rPr>
        <w:t>e</w:t>
      </w:r>
      <w:r w:rsidR="00734CF1">
        <w:rPr>
          <w:rFonts w:ascii="Fira Sans" w:hAnsi="Fira Sans"/>
          <w:color w:val="auto"/>
          <w:sz w:val="19"/>
          <w:szCs w:val="19"/>
        </w:rPr>
        <w:t xml:space="preserve"> </w:t>
      </w:r>
      <w:r w:rsidR="00CF0937">
        <w:rPr>
          <w:rFonts w:ascii="Fira Sans" w:hAnsi="Fira Sans"/>
          <w:color w:val="auto"/>
          <w:sz w:val="19"/>
          <w:szCs w:val="19"/>
          <w:shd w:val="clear" w:color="auto" w:fill="FFFFFF"/>
        </w:rPr>
        <w:t>(spadek</w:t>
      </w:r>
      <w:r w:rsidR="00734CF1"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</w:t>
      </w:r>
      <w:r w:rsidR="00734CF1">
        <w:rPr>
          <w:rFonts w:ascii="Fira Sans" w:hAnsi="Fira Sans"/>
          <w:color w:val="auto"/>
          <w:sz w:val="19"/>
          <w:szCs w:val="19"/>
          <w:shd w:val="clear" w:color="auto" w:fill="FFFFFF"/>
        </w:rPr>
        <w:t>o 37,5%</w:t>
      </w:r>
      <w:r w:rsidR="00CF0937">
        <w:rPr>
          <w:rFonts w:ascii="Fira Sans" w:hAnsi="Fira Sans"/>
          <w:color w:val="auto"/>
          <w:sz w:val="19"/>
          <w:szCs w:val="19"/>
          <w:shd w:val="clear" w:color="auto" w:fill="FFFFFF"/>
        </w:rPr>
        <w:t>)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. </w:t>
      </w:r>
      <w:r w:rsidR="004C062B">
        <w:rPr>
          <w:rFonts w:ascii="Fira Sans" w:hAnsi="Fira Sans"/>
          <w:color w:val="auto"/>
          <w:sz w:val="19"/>
          <w:szCs w:val="19"/>
          <w:shd w:val="clear" w:color="auto" w:fill="FFFFFF"/>
        </w:rPr>
        <w:t>Większe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zainteresowanie budynkami </w:t>
      </w:r>
      <w:r w:rsidR="00102F1A">
        <w:rPr>
          <w:rFonts w:ascii="Fira Sans" w:hAnsi="Fira Sans"/>
          <w:color w:val="auto"/>
          <w:sz w:val="19"/>
          <w:szCs w:val="19"/>
          <w:shd w:val="clear" w:color="auto" w:fill="FFFFFF"/>
        </w:rPr>
        <w:t>biurowymi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</w:t>
      </w:r>
      <w:r w:rsidR="00915193">
        <w:rPr>
          <w:rFonts w:ascii="Fira Sans" w:hAnsi="Fira Sans"/>
          <w:color w:val="auto"/>
          <w:sz w:val="19"/>
          <w:szCs w:val="19"/>
          <w:shd w:val="clear" w:color="auto" w:fill="FFFFFF"/>
        </w:rPr>
        <w:t>i budynkami handlowo-usługowymi znalazło odzwierciedlenie we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</w:t>
      </w:r>
      <w:r w:rsidR="004C062B">
        <w:rPr>
          <w:rFonts w:ascii="Fira Sans" w:hAnsi="Fira Sans"/>
          <w:color w:val="auto"/>
          <w:sz w:val="19"/>
          <w:szCs w:val="19"/>
          <w:shd w:val="clear" w:color="auto" w:fill="FFFFFF"/>
        </w:rPr>
        <w:t>wzro</w:t>
      </w:r>
      <w:r w:rsidR="00915193">
        <w:rPr>
          <w:rFonts w:ascii="Fira Sans" w:hAnsi="Fira Sans"/>
          <w:color w:val="auto"/>
          <w:sz w:val="19"/>
          <w:szCs w:val="19"/>
          <w:shd w:val="clear" w:color="auto" w:fill="FFFFFF"/>
        </w:rPr>
        <w:t>ście</w:t>
      </w:r>
      <w:r w:rsidR="004C062B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>ich powierzchni użytkowej</w:t>
      </w:r>
      <w:r w:rsidR="00915193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, odpowiednio 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o </w:t>
      </w:r>
      <w:r w:rsidR="00734CF1">
        <w:rPr>
          <w:rFonts w:ascii="Fira Sans" w:hAnsi="Fira Sans"/>
          <w:color w:val="auto"/>
          <w:sz w:val="19"/>
          <w:szCs w:val="19"/>
          <w:shd w:val="clear" w:color="auto" w:fill="FFFFFF"/>
        </w:rPr>
        <w:t>67,0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>%</w:t>
      </w:r>
      <w:r w:rsidR="00CC5399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i o 45,6%. 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Powierzchnia </w:t>
      </w:r>
      <w:r w:rsidR="008E045C">
        <w:rPr>
          <w:rFonts w:ascii="Fira Sans" w:hAnsi="Fira Sans"/>
          <w:color w:val="auto"/>
          <w:sz w:val="19"/>
          <w:szCs w:val="19"/>
          <w:shd w:val="clear" w:color="auto" w:fill="FFFFFF"/>
        </w:rPr>
        <w:t>innych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rodzajów budynków niemieszkalnych</w:t>
      </w:r>
      <w:r w:rsidR="00915193">
        <w:rPr>
          <w:rFonts w:ascii="Fira Sans" w:hAnsi="Fira Sans"/>
          <w:color w:val="auto"/>
          <w:sz w:val="19"/>
          <w:szCs w:val="19"/>
          <w:shd w:val="clear" w:color="auto" w:fill="FFFFFF"/>
        </w:rPr>
        <w:t>,</w:t>
      </w:r>
      <w:r w:rsidR="00470DB5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nie wymienionych powyżej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(</w:t>
      </w:r>
      <w:r w:rsidR="00873A94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m.in. </w:t>
      </w:r>
      <w:r w:rsidR="00CC5399">
        <w:rPr>
          <w:rFonts w:ascii="Fira Sans" w:hAnsi="Fira Sans"/>
          <w:color w:val="auto"/>
          <w:sz w:val="19"/>
          <w:szCs w:val="19"/>
          <w:shd w:val="clear" w:color="auto" w:fill="FFFFFF"/>
        </w:rPr>
        <w:t>budynków hoteli</w:t>
      </w:r>
      <w:r w:rsidR="007E5F5E">
        <w:rPr>
          <w:rFonts w:ascii="Fira Sans" w:hAnsi="Fira Sans"/>
          <w:color w:val="auto"/>
          <w:sz w:val="19"/>
          <w:szCs w:val="19"/>
          <w:shd w:val="clear" w:color="auto" w:fill="FFFFFF"/>
        </w:rPr>
        <w:t>;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</w:t>
      </w:r>
      <w:r w:rsidR="00CC5399">
        <w:rPr>
          <w:rFonts w:ascii="Fira Sans" w:hAnsi="Fira Sans"/>
          <w:color w:val="auto"/>
          <w:sz w:val="19"/>
          <w:szCs w:val="19"/>
          <w:shd w:val="clear" w:color="auto" w:fill="FFFFFF"/>
        </w:rPr>
        <w:t>budynków garaży</w:t>
      </w:r>
      <w:r w:rsidR="007E5F5E">
        <w:rPr>
          <w:rFonts w:ascii="Fira Sans" w:hAnsi="Fira Sans"/>
          <w:color w:val="auto"/>
          <w:sz w:val="19"/>
          <w:szCs w:val="19"/>
          <w:shd w:val="clear" w:color="auto" w:fill="FFFFFF"/>
        </w:rPr>
        <w:t>;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</w:t>
      </w:r>
      <w:r w:rsidR="00873A94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budynków </w:t>
      </w:r>
      <w:r w:rsidR="00CC5399">
        <w:rPr>
          <w:rFonts w:ascii="Fira Sans" w:hAnsi="Fira Sans"/>
          <w:color w:val="auto"/>
          <w:sz w:val="19"/>
          <w:szCs w:val="19"/>
          <w:shd w:val="clear" w:color="auto" w:fill="FFFFFF"/>
        </w:rPr>
        <w:t>kultury fizycznej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) była o </w:t>
      </w:r>
      <w:r w:rsidR="00734CF1">
        <w:rPr>
          <w:rFonts w:ascii="Fira Sans" w:hAnsi="Fira Sans"/>
          <w:color w:val="auto"/>
          <w:sz w:val="19"/>
          <w:szCs w:val="19"/>
          <w:shd w:val="clear" w:color="auto" w:fill="FFFFFF"/>
        </w:rPr>
        <w:t>6,</w:t>
      </w:r>
      <w:r w:rsidR="00FA6130">
        <w:rPr>
          <w:rFonts w:ascii="Fira Sans" w:hAnsi="Fira Sans"/>
          <w:color w:val="auto"/>
          <w:sz w:val="19"/>
          <w:szCs w:val="19"/>
          <w:shd w:val="clear" w:color="auto" w:fill="FFFFFF"/>
        </w:rPr>
        <w:t>7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% </w:t>
      </w:r>
      <w:r w:rsidR="00734CF1">
        <w:rPr>
          <w:rFonts w:ascii="Fira Sans" w:hAnsi="Fira Sans"/>
          <w:color w:val="auto"/>
          <w:sz w:val="19"/>
          <w:szCs w:val="19"/>
          <w:shd w:val="clear" w:color="auto" w:fill="FFFFFF"/>
        </w:rPr>
        <w:t>mniejsza</w:t>
      </w:r>
      <w:r w:rsidRPr="006D3B7E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niż przed rokiem.</w:t>
      </w:r>
    </w:p>
    <w:p w:rsidR="008F6A8E" w:rsidRPr="008F6A8E" w:rsidRDefault="008F6A8E" w:rsidP="008F6A8E">
      <w:pPr>
        <w:rPr>
          <w:lang w:eastAsia="pl-PL"/>
        </w:rPr>
      </w:pPr>
    </w:p>
    <w:p w:rsidR="007608BE" w:rsidRPr="004A3242" w:rsidRDefault="001B2192" w:rsidP="004A3242">
      <w:pPr>
        <w:pStyle w:val="tekstzboku"/>
        <w:ind w:left="709" w:hanging="709"/>
        <w:rPr>
          <w:color w:val="auto"/>
          <w:sz w:val="19"/>
          <w:szCs w:val="19"/>
        </w:rPr>
      </w:pPr>
      <w:r w:rsidRPr="001B2192">
        <w:rPr>
          <w:noProof/>
        </w:rPr>
        <w:drawing>
          <wp:anchor distT="0" distB="0" distL="114300" distR="114300" simplePos="0" relativeHeight="251663872" behindDoc="0" locked="0" layoutInCell="1" allowOverlap="1" wp14:anchorId="35CFA72E" wp14:editId="62121D6B">
            <wp:simplePos x="0" y="0"/>
            <wp:positionH relativeFrom="column">
              <wp:posOffset>0</wp:posOffset>
            </wp:positionH>
            <wp:positionV relativeFrom="paragraph">
              <wp:posOffset>410845</wp:posOffset>
            </wp:positionV>
            <wp:extent cx="5122545" cy="3737610"/>
            <wp:effectExtent l="0" t="0" r="190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04F" w:rsidRPr="00A87939">
        <w:rPr>
          <w:b/>
          <w:color w:val="auto"/>
          <w:shd w:val="clear" w:color="auto" w:fill="FFFFFF"/>
        </w:rPr>
        <w:t xml:space="preserve">Wykres 1. Powierzchnia użytkowa nowych budynków niemieszkalnych oddanych do użytkowania  według </w:t>
      </w:r>
      <w:r w:rsidR="00873A94">
        <w:rPr>
          <w:b/>
          <w:color w:val="auto"/>
          <w:shd w:val="clear" w:color="auto" w:fill="FFFFFF"/>
        </w:rPr>
        <w:t>rodzajów budynków</w:t>
      </w:r>
      <w:r w:rsidR="0064104F" w:rsidRPr="00A87939">
        <w:rPr>
          <w:b/>
          <w:color w:val="auto"/>
          <w:shd w:val="clear" w:color="auto" w:fill="FFFFFF"/>
        </w:rPr>
        <w:t>.</w:t>
      </w:r>
    </w:p>
    <w:p w:rsidR="001B2192" w:rsidRDefault="001B2192" w:rsidP="00A20F36">
      <w:pPr>
        <w:rPr>
          <w:shd w:val="clear" w:color="auto" w:fill="FFFFFF"/>
        </w:rPr>
      </w:pPr>
    </w:p>
    <w:p w:rsidR="006D3B7E" w:rsidRPr="006D3B7E" w:rsidRDefault="00660957" w:rsidP="00A20F36">
      <w:pPr>
        <w:rPr>
          <w:shd w:val="clear" w:color="auto" w:fill="FFFFFF"/>
        </w:rPr>
      </w:pPr>
      <w:r>
        <w:pict>
          <v:shape id="_x0000_s1031" type="#_x0000_t202" style="position:absolute;margin-left:420pt;margin-top:-10.4pt;width:124.5pt;height:125.95pt;z-index:-251655168;visibility:visible;mso-wrap-distance-top:3.6pt;mso-wrap-distance-bottom:3.6pt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" filled="f" stroked="f">
            <v:textbox style="mso-next-textbox:#_x0000_s1031">
              <w:txbxContent>
                <w:p w:rsidR="0064104F" w:rsidRPr="00D13E4D" w:rsidRDefault="0064104F" w:rsidP="00921240">
                  <w:pPr>
                    <w:pStyle w:val="tekstzboku"/>
                    <w:ind w:left="-142" w:hanging="142"/>
                    <w:rPr>
                      <w:sz w:val="19"/>
                      <w:szCs w:val="19"/>
                    </w:rPr>
                  </w:pPr>
                  <w:r w:rsidRPr="00D13E4D">
                    <w:rPr>
                      <w:sz w:val="19"/>
                      <w:szCs w:val="19"/>
                    </w:rPr>
                    <w:t xml:space="preserve">P </w:t>
                  </w:r>
                  <w:r w:rsidR="00921240" w:rsidRPr="002F348B">
                    <w:rPr>
                      <w:sz w:val="19"/>
                      <w:szCs w:val="19"/>
                    </w:rPr>
                    <w:t xml:space="preserve">Powierzchnia użytkowa nowych budynków niemieszkalnych oddanych </w:t>
                  </w:r>
                  <w:r w:rsidR="00085121" w:rsidRPr="002F348B">
                    <w:rPr>
                      <w:sz w:val="19"/>
                      <w:szCs w:val="19"/>
                    </w:rPr>
                    <w:t xml:space="preserve">   </w:t>
                  </w:r>
                  <w:r w:rsidR="00921240" w:rsidRPr="002F348B">
                    <w:rPr>
                      <w:sz w:val="19"/>
                      <w:szCs w:val="19"/>
                    </w:rPr>
                    <w:t xml:space="preserve">do użytkowania </w:t>
                  </w:r>
                  <w:r w:rsidR="002F348B" w:rsidRPr="002F348B">
                    <w:rPr>
                      <w:sz w:val="19"/>
                      <w:szCs w:val="19"/>
                    </w:rPr>
                    <w:t xml:space="preserve">na terenie </w:t>
                  </w:r>
                  <w:r w:rsidR="00921240" w:rsidRPr="002F348B">
                    <w:rPr>
                      <w:sz w:val="19"/>
                      <w:szCs w:val="19"/>
                    </w:rPr>
                    <w:t xml:space="preserve"> województw</w:t>
                  </w:r>
                  <w:r w:rsidR="002F348B" w:rsidRPr="002F348B">
                    <w:rPr>
                      <w:sz w:val="19"/>
                      <w:szCs w:val="19"/>
                    </w:rPr>
                    <w:t>a</w:t>
                  </w:r>
                  <w:r w:rsidR="00155DEE">
                    <w:rPr>
                      <w:sz w:val="19"/>
                      <w:szCs w:val="19"/>
                    </w:rPr>
                    <w:t xml:space="preserve"> mazowieckiego, wielkopolskiego </w:t>
                  </w:r>
                  <w:r w:rsidR="00A97DCC">
                    <w:rPr>
                      <w:sz w:val="19"/>
                      <w:szCs w:val="19"/>
                    </w:rPr>
                    <w:br/>
                  </w:r>
                  <w:r w:rsidR="00155DEE">
                    <w:rPr>
                      <w:sz w:val="19"/>
                      <w:szCs w:val="19"/>
                    </w:rPr>
                    <w:t>i śląskiego stanowiła blisko</w:t>
                  </w:r>
                  <w:r w:rsidR="005B1E34">
                    <w:rPr>
                      <w:sz w:val="19"/>
                      <w:szCs w:val="19"/>
                    </w:rPr>
                    <w:t xml:space="preserve"> 42% ogółu wybudowanej powierzchni</w:t>
                  </w:r>
                  <w:r w:rsidR="00155DEE">
                    <w:rPr>
                      <w:sz w:val="19"/>
                      <w:szCs w:val="19"/>
                    </w:rPr>
                    <w:t xml:space="preserve"> </w:t>
                  </w:r>
                  <w:r w:rsidR="002F348B" w:rsidRPr="002F348B">
                    <w:rPr>
                      <w:sz w:val="19"/>
                      <w:szCs w:val="19"/>
                      <w:shd w:val="clear" w:color="auto" w:fill="FFFFFF"/>
                    </w:rPr>
                    <w:t xml:space="preserve">  </w:t>
                  </w:r>
                </w:p>
              </w:txbxContent>
            </v:textbox>
            <w10:wrap type="tight"/>
          </v:shape>
        </w:pict>
      </w:r>
      <w:r w:rsidR="00290126">
        <w:rPr>
          <w:shd w:val="clear" w:color="auto" w:fill="FFFFFF"/>
        </w:rPr>
        <w:t>P</w:t>
      </w:r>
      <w:r w:rsidR="002F348B">
        <w:rPr>
          <w:shd w:val="clear" w:color="auto" w:fill="FFFFFF"/>
        </w:rPr>
        <w:t xml:space="preserve">owierzchnia użytkowa nowych budynków niemieszkalnych oddana do użytkowania </w:t>
      </w:r>
      <w:r w:rsidR="00290126">
        <w:rPr>
          <w:shd w:val="clear" w:color="auto" w:fill="FFFFFF"/>
        </w:rPr>
        <w:t xml:space="preserve">w I kw. br. </w:t>
      </w:r>
      <w:r w:rsidR="002F348B">
        <w:rPr>
          <w:shd w:val="clear" w:color="auto" w:fill="FFFFFF"/>
        </w:rPr>
        <w:t xml:space="preserve">na terenie </w:t>
      </w:r>
      <w:r w:rsidR="00DF0DB3">
        <w:rPr>
          <w:shd w:val="clear" w:color="auto" w:fill="FFFFFF"/>
        </w:rPr>
        <w:t>województw</w:t>
      </w:r>
      <w:r w:rsidR="002F348B">
        <w:rPr>
          <w:shd w:val="clear" w:color="auto" w:fill="FFFFFF"/>
        </w:rPr>
        <w:t>a</w:t>
      </w:r>
      <w:r w:rsidR="006D3B7E" w:rsidRPr="006D3B7E">
        <w:rPr>
          <w:shd w:val="clear" w:color="auto" w:fill="FFFFFF"/>
        </w:rPr>
        <w:t xml:space="preserve"> mazowiecki</w:t>
      </w:r>
      <w:r w:rsidR="00DF0DB3">
        <w:rPr>
          <w:shd w:val="clear" w:color="auto" w:fill="FFFFFF"/>
        </w:rPr>
        <w:t>ego</w:t>
      </w:r>
      <w:r w:rsidR="006D3B7E" w:rsidRPr="006D3B7E">
        <w:rPr>
          <w:shd w:val="clear" w:color="auto" w:fill="FFFFFF"/>
        </w:rPr>
        <w:t xml:space="preserve">, </w:t>
      </w:r>
      <w:r w:rsidR="00044EC8">
        <w:rPr>
          <w:shd w:val="clear" w:color="auto" w:fill="FFFFFF"/>
        </w:rPr>
        <w:t>wielkopolskiego i śląskiego</w:t>
      </w:r>
      <w:r w:rsidR="00E82417">
        <w:rPr>
          <w:shd w:val="clear" w:color="auto" w:fill="FFFFFF"/>
        </w:rPr>
        <w:t xml:space="preserve"> stanowiła</w:t>
      </w:r>
      <w:r w:rsidR="00DF0DB3">
        <w:rPr>
          <w:shd w:val="clear" w:color="auto" w:fill="FFFFFF"/>
        </w:rPr>
        <w:t xml:space="preserve"> </w:t>
      </w:r>
      <w:r w:rsidR="00A25AB4">
        <w:rPr>
          <w:shd w:val="clear" w:color="auto" w:fill="FFFFFF"/>
        </w:rPr>
        <w:t>41,7</w:t>
      </w:r>
      <w:r w:rsidR="00DF0DB3">
        <w:rPr>
          <w:shd w:val="clear" w:color="auto" w:fill="FFFFFF"/>
        </w:rPr>
        <w:t xml:space="preserve">% ogółu </w:t>
      </w:r>
      <w:r w:rsidR="002F348B">
        <w:rPr>
          <w:shd w:val="clear" w:color="auto" w:fill="FFFFFF"/>
        </w:rPr>
        <w:t xml:space="preserve">wybudowanej </w:t>
      </w:r>
      <w:r w:rsidR="00DF0DB3">
        <w:rPr>
          <w:shd w:val="clear" w:color="auto" w:fill="FFFFFF"/>
        </w:rPr>
        <w:t>powierzchni</w:t>
      </w:r>
      <w:r w:rsidR="002F348B">
        <w:rPr>
          <w:shd w:val="clear" w:color="auto" w:fill="FFFFFF"/>
        </w:rPr>
        <w:t xml:space="preserve">, </w:t>
      </w:r>
      <w:r w:rsidR="00DF0DB3">
        <w:rPr>
          <w:shd w:val="clear" w:color="auto" w:fill="FFFFFF"/>
        </w:rPr>
        <w:t xml:space="preserve">wobec </w:t>
      </w:r>
      <w:r w:rsidR="00CA56E2">
        <w:rPr>
          <w:shd w:val="clear" w:color="auto" w:fill="FFFFFF"/>
        </w:rPr>
        <w:t>39,2</w:t>
      </w:r>
      <w:r w:rsidR="00392B01">
        <w:rPr>
          <w:shd w:val="clear" w:color="auto" w:fill="FFFFFF"/>
        </w:rPr>
        <w:t>% przed rokiem.</w:t>
      </w:r>
      <w:r w:rsidR="00816EE2">
        <w:rPr>
          <w:shd w:val="clear" w:color="auto" w:fill="FFFFFF"/>
        </w:rPr>
        <w:t xml:space="preserve"> </w:t>
      </w:r>
      <w:r w:rsidR="00457FDB">
        <w:rPr>
          <w:shd w:val="clear" w:color="auto" w:fill="FFFFFF"/>
        </w:rPr>
        <w:t xml:space="preserve">Jednak </w:t>
      </w:r>
      <w:r w:rsidR="002F348B">
        <w:rPr>
          <w:shd w:val="clear" w:color="auto" w:fill="FFFFFF"/>
        </w:rPr>
        <w:t>s</w:t>
      </w:r>
      <w:r w:rsidR="00457FDB">
        <w:rPr>
          <w:shd w:val="clear" w:color="auto" w:fill="FFFFFF"/>
        </w:rPr>
        <w:t xml:space="preserve">pośród nich </w:t>
      </w:r>
      <w:r w:rsidR="002508DE">
        <w:rPr>
          <w:shd w:val="clear" w:color="auto" w:fill="FFFFFF"/>
        </w:rPr>
        <w:t>wzrost</w:t>
      </w:r>
      <w:r w:rsidR="00457FDB">
        <w:rPr>
          <w:shd w:val="clear" w:color="auto" w:fill="FFFFFF"/>
        </w:rPr>
        <w:t xml:space="preserve"> powierzchni użytkowej (w porównaniu </w:t>
      </w:r>
      <w:r w:rsidR="00CE3A47">
        <w:rPr>
          <w:shd w:val="clear" w:color="auto" w:fill="FFFFFF"/>
        </w:rPr>
        <w:t xml:space="preserve">z I kw. </w:t>
      </w:r>
      <w:r w:rsidR="00457FDB">
        <w:rPr>
          <w:shd w:val="clear" w:color="auto" w:fill="FFFFFF"/>
        </w:rPr>
        <w:t>201</w:t>
      </w:r>
      <w:r w:rsidR="00A8668F">
        <w:rPr>
          <w:shd w:val="clear" w:color="auto" w:fill="FFFFFF"/>
        </w:rPr>
        <w:t>7</w:t>
      </w:r>
      <w:r w:rsidR="00444FD6">
        <w:rPr>
          <w:shd w:val="clear" w:color="auto" w:fill="FFFFFF"/>
        </w:rPr>
        <w:t xml:space="preserve"> r.</w:t>
      </w:r>
      <w:r w:rsidR="00610965">
        <w:rPr>
          <w:shd w:val="clear" w:color="auto" w:fill="FFFFFF"/>
        </w:rPr>
        <w:t>)</w:t>
      </w:r>
      <w:r w:rsidR="00D41F22">
        <w:rPr>
          <w:shd w:val="clear" w:color="auto" w:fill="FFFFFF"/>
        </w:rPr>
        <w:t xml:space="preserve"> </w:t>
      </w:r>
      <w:r w:rsidR="00DF0DB3">
        <w:rPr>
          <w:shd w:val="clear" w:color="auto" w:fill="FFFFFF"/>
        </w:rPr>
        <w:t xml:space="preserve">odnotowano tylko w województwie </w:t>
      </w:r>
      <w:r w:rsidR="00A25AB4">
        <w:rPr>
          <w:shd w:val="clear" w:color="auto" w:fill="FFFFFF"/>
        </w:rPr>
        <w:t>mazowieckim</w:t>
      </w:r>
      <w:r w:rsidR="00DF0DB3">
        <w:rPr>
          <w:shd w:val="clear" w:color="auto" w:fill="FFFFFF"/>
        </w:rPr>
        <w:t xml:space="preserve"> (o </w:t>
      </w:r>
      <w:r w:rsidR="00A25AB4">
        <w:rPr>
          <w:shd w:val="clear" w:color="auto" w:fill="FFFFFF"/>
        </w:rPr>
        <w:t>4,4</w:t>
      </w:r>
      <w:r w:rsidR="00DF0DB3">
        <w:rPr>
          <w:shd w:val="clear" w:color="auto" w:fill="FFFFFF"/>
        </w:rPr>
        <w:t>%)</w:t>
      </w:r>
      <w:r w:rsidR="006D3B7E" w:rsidRPr="006D3B7E">
        <w:rPr>
          <w:shd w:val="clear" w:color="auto" w:fill="FFFFFF"/>
        </w:rPr>
        <w:t>,</w:t>
      </w:r>
      <w:r w:rsidR="00DF0DB3">
        <w:rPr>
          <w:shd w:val="clear" w:color="auto" w:fill="FFFFFF"/>
        </w:rPr>
        <w:t xml:space="preserve"> spadek natomiast w województwie</w:t>
      </w:r>
      <w:r w:rsidR="00DF0DB3" w:rsidRPr="00DF0DB3">
        <w:rPr>
          <w:shd w:val="clear" w:color="auto" w:fill="FFFFFF"/>
        </w:rPr>
        <w:t xml:space="preserve"> </w:t>
      </w:r>
      <w:r w:rsidR="00A25AB4">
        <w:rPr>
          <w:shd w:val="clear" w:color="auto" w:fill="FFFFFF"/>
        </w:rPr>
        <w:t>wielkopolskim</w:t>
      </w:r>
      <w:r w:rsidR="00DF0DB3">
        <w:rPr>
          <w:shd w:val="clear" w:color="auto" w:fill="FFFFFF"/>
        </w:rPr>
        <w:t xml:space="preserve"> (o </w:t>
      </w:r>
      <w:r w:rsidR="00A25AB4">
        <w:rPr>
          <w:shd w:val="clear" w:color="auto" w:fill="FFFFFF"/>
        </w:rPr>
        <w:t>11,6</w:t>
      </w:r>
      <w:r w:rsidR="00DF0DB3">
        <w:rPr>
          <w:shd w:val="clear" w:color="auto" w:fill="FFFFFF"/>
        </w:rPr>
        <w:t>%) i</w:t>
      </w:r>
      <w:r w:rsidR="00DF0DB3" w:rsidRPr="00DF0DB3">
        <w:rPr>
          <w:shd w:val="clear" w:color="auto" w:fill="FFFFFF"/>
        </w:rPr>
        <w:t xml:space="preserve"> </w:t>
      </w:r>
      <w:r w:rsidR="00A25AB4">
        <w:rPr>
          <w:shd w:val="clear" w:color="auto" w:fill="FFFFFF"/>
        </w:rPr>
        <w:t xml:space="preserve">śląskim </w:t>
      </w:r>
      <w:r w:rsidR="00142DAC">
        <w:rPr>
          <w:shd w:val="clear" w:color="auto" w:fill="FFFFFF"/>
        </w:rPr>
        <w:br/>
      </w:r>
      <w:r w:rsidR="00DF0DB3">
        <w:rPr>
          <w:shd w:val="clear" w:color="auto" w:fill="FFFFFF"/>
        </w:rPr>
        <w:t xml:space="preserve">(o </w:t>
      </w:r>
      <w:r w:rsidR="00A25AB4">
        <w:rPr>
          <w:shd w:val="clear" w:color="auto" w:fill="FFFFFF"/>
        </w:rPr>
        <w:t>9,2</w:t>
      </w:r>
      <w:r w:rsidR="00DF0DB3">
        <w:rPr>
          <w:shd w:val="clear" w:color="auto" w:fill="FFFFFF"/>
        </w:rPr>
        <w:t>%)</w:t>
      </w:r>
      <w:r w:rsidR="005F2E17">
        <w:rPr>
          <w:shd w:val="clear" w:color="auto" w:fill="FFFFFF"/>
        </w:rPr>
        <w:t>.</w:t>
      </w:r>
      <w:r w:rsidR="00DF0DB3">
        <w:rPr>
          <w:shd w:val="clear" w:color="auto" w:fill="FFFFFF"/>
        </w:rPr>
        <w:t xml:space="preserve"> </w:t>
      </w:r>
      <w:r w:rsidR="00A25AB4">
        <w:rPr>
          <w:shd w:val="clear" w:color="auto" w:fill="FFFFFF"/>
        </w:rPr>
        <w:t>Z</w:t>
      </w:r>
      <w:r w:rsidR="00A61254">
        <w:rPr>
          <w:shd w:val="clear" w:color="auto" w:fill="FFFFFF"/>
        </w:rPr>
        <w:t xml:space="preserve">biorniki, silosy i budynki magazynowe </w:t>
      </w:r>
      <w:r w:rsidR="00A25AB4" w:rsidRPr="006D3B7E">
        <w:rPr>
          <w:shd w:val="clear" w:color="auto" w:fill="FFFFFF"/>
        </w:rPr>
        <w:t>oraz</w:t>
      </w:r>
      <w:r w:rsidR="00A61254">
        <w:rPr>
          <w:shd w:val="clear" w:color="auto" w:fill="FFFFFF"/>
        </w:rPr>
        <w:t xml:space="preserve"> </w:t>
      </w:r>
      <w:r w:rsidR="00A25AB4">
        <w:rPr>
          <w:shd w:val="clear" w:color="auto" w:fill="FFFFFF"/>
        </w:rPr>
        <w:t>budynki</w:t>
      </w:r>
      <w:r w:rsidR="00A25AB4" w:rsidRPr="00A61254">
        <w:rPr>
          <w:shd w:val="clear" w:color="auto" w:fill="FFFFFF"/>
        </w:rPr>
        <w:t xml:space="preserve"> </w:t>
      </w:r>
      <w:r w:rsidR="00A25AB4" w:rsidRPr="006D3B7E">
        <w:rPr>
          <w:shd w:val="clear" w:color="auto" w:fill="FFFFFF"/>
        </w:rPr>
        <w:t xml:space="preserve">gospodarstw rolnych </w:t>
      </w:r>
      <w:r w:rsidR="00A25AB4">
        <w:rPr>
          <w:shd w:val="clear" w:color="auto" w:fill="FFFFFF"/>
        </w:rPr>
        <w:t xml:space="preserve">dominowały </w:t>
      </w:r>
      <w:r w:rsidR="00A61254">
        <w:rPr>
          <w:shd w:val="clear" w:color="auto" w:fill="FFFFFF"/>
        </w:rPr>
        <w:t>w województwie mazowieckim</w:t>
      </w:r>
      <w:r w:rsidR="00175652">
        <w:rPr>
          <w:shd w:val="clear" w:color="auto" w:fill="FFFFFF"/>
        </w:rPr>
        <w:t xml:space="preserve"> </w:t>
      </w:r>
      <w:r w:rsidR="0008743E">
        <w:rPr>
          <w:shd w:val="clear" w:color="auto" w:fill="FFFFFF"/>
        </w:rPr>
        <w:t xml:space="preserve">(ich </w:t>
      </w:r>
      <w:r w:rsidR="00833823">
        <w:rPr>
          <w:shd w:val="clear" w:color="auto" w:fill="FFFFFF"/>
        </w:rPr>
        <w:t>udział</w:t>
      </w:r>
      <w:r w:rsidR="00A61254">
        <w:rPr>
          <w:shd w:val="clear" w:color="auto" w:fill="FFFFFF"/>
        </w:rPr>
        <w:t xml:space="preserve"> </w:t>
      </w:r>
      <w:r w:rsidR="0008743E">
        <w:rPr>
          <w:shd w:val="clear" w:color="auto" w:fill="FFFFFF"/>
        </w:rPr>
        <w:t xml:space="preserve">wyniósł </w:t>
      </w:r>
      <w:r w:rsidR="00A61254">
        <w:rPr>
          <w:shd w:val="clear" w:color="auto" w:fill="FFFFFF"/>
        </w:rPr>
        <w:t xml:space="preserve">odpowiednio </w:t>
      </w:r>
      <w:r w:rsidR="00A25AB4">
        <w:rPr>
          <w:shd w:val="clear" w:color="auto" w:fill="FFFFFF"/>
        </w:rPr>
        <w:t>33,5</w:t>
      </w:r>
      <w:r w:rsidR="00A61254" w:rsidRPr="006D3B7E">
        <w:rPr>
          <w:shd w:val="clear" w:color="auto" w:fill="FFFFFF"/>
        </w:rPr>
        <w:t xml:space="preserve">% i </w:t>
      </w:r>
      <w:r w:rsidR="00A25AB4">
        <w:rPr>
          <w:shd w:val="clear" w:color="auto" w:fill="FFFFFF"/>
        </w:rPr>
        <w:t>26,3</w:t>
      </w:r>
      <w:r w:rsidR="00A61254" w:rsidRPr="006D3B7E">
        <w:rPr>
          <w:shd w:val="clear" w:color="auto" w:fill="FFFFFF"/>
        </w:rPr>
        <w:t>%</w:t>
      </w:r>
      <w:r w:rsidR="00A61254">
        <w:rPr>
          <w:shd w:val="clear" w:color="auto" w:fill="FFFFFF"/>
        </w:rPr>
        <w:t xml:space="preserve"> </w:t>
      </w:r>
      <w:r w:rsidR="00A61254" w:rsidRPr="006D3B7E">
        <w:rPr>
          <w:shd w:val="clear" w:color="auto" w:fill="FFFFFF"/>
        </w:rPr>
        <w:t>powierzchni użytkowej oddanej do użytkowania</w:t>
      </w:r>
      <w:r w:rsidR="00A25AB4">
        <w:rPr>
          <w:shd w:val="clear" w:color="auto" w:fill="FFFFFF"/>
        </w:rPr>
        <w:t>)</w:t>
      </w:r>
      <w:r w:rsidR="004B3557">
        <w:rPr>
          <w:shd w:val="clear" w:color="auto" w:fill="FFFFFF"/>
        </w:rPr>
        <w:t>.</w:t>
      </w:r>
      <w:r w:rsidR="00A25AB4">
        <w:rPr>
          <w:shd w:val="clear" w:color="auto" w:fill="FFFFFF"/>
        </w:rPr>
        <w:t xml:space="preserve"> </w:t>
      </w:r>
      <w:r w:rsidR="004B3557">
        <w:rPr>
          <w:shd w:val="clear" w:color="auto" w:fill="FFFFFF"/>
        </w:rPr>
        <w:t>W</w:t>
      </w:r>
      <w:r w:rsidR="00A25AB4">
        <w:rPr>
          <w:shd w:val="clear" w:color="auto" w:fill="FFFFFF"/>
        </w:rPr>
        <w:t xml:space="preserve"> województwie </w:t>
      </w:r>
      <w:r w:rsidR="001F6797">
        <w:rPr>
          <w:shd w:val="clear" w:color="auto" w:fill="FFFFFF"/>
        </w:rPr>
        <w:t>wielkopolski</w:t>
      </w:r>
      <w:r w:rsidR="00A61254">
        <w:rPr>
          <w:shd w:val="clear" w:color="auto" w:fill="FFFFFF"/>
        </w:rPr>
        <w:t>m</w:t>
      </w:r>
      <w:r w:rsidR="00A25AB4">
        <w:rPr>
          <w:shd w:val="clear" w:color="auto" w:fill="FFFFFF"/>
        </w:rPr>
        <w:t xml:space="preserve"> również największy udział stanowiły budynki</w:t>
      </w:r>
      <w:r w:rsidR="00A25AB4" w:rsidRPr="00A61254">
        <w:rPr>
          <w:shd w:val="clear" w:color="auto" w:fill="FFFFFF"/>
        </w:rPr>
        <w:t xml:space="preserve"> </w:t>
      </w:r>
      <w:r w:rsidR="00A25AB4" w:rsidRPr="006D3B7E">
        <w:rPr>
          <w:shd w:val="clear" w:color="auto" w:fill="FFFFFF"/>
        </w:rPr>
        <w:t>gospodarstw rolnych</w:t>
      </w:r>
      <w:r w:rsidR="001F6797">
        <w:rPr>
          <w:shd w:val="clear" w:color="auto" w:fill="FFFFFF"/>
        </w:rPr>
        <w:t xml:space="preserve"> </w:t>
      </w:r>
      <w:r w:rsidR="00A61254">
        <w:rPr>
          <w:shd w:val="clear" w:color="auto" w:fill="FFFFFF"/>
        </w:rPr>
        <w:t>(</w:t>
      </w:r>
      <w:r w:rsidR="00A25AB4">
        <w:rPr>
          <w:shd w:val="clear" w:color="auto" w:fill="FFFFFF"/>
        </w:rPr>
        <w:t>34,3</w:t>
      </w:r>
      <w:r w:rsidR="001F6797" w:rsidRPr="00A20E9E">
        <w:rPr>
          <w:shd w:val="clear" w:color="auto" w:fill="FFFFFF"/>
        </w:rPr>
        <w:t>%</w:t>
      </w:r>
      <w:r w:rsidR="00A25AB4">
        <w:rPr>
          <w:shd w:val="clear" w:color="auto" w:fill="FFFFFF"/>
        </w:rPr>
        <w:t>)</w:t>
      </w:r>
      <w:r w:rsidR="001F6797" w:rsidRPr="00A20E9E">
        <w:rPr>
          <w:shd w:val="clear" w:color="auto" w:fill="FFFFFF"/>
        </w:rPr>
        <w:t xml:space="preserve"> </w:t>
      </w:r>
      <w:r w:rsidR="00A25AB4">
        <w:rPr>
          <w:shd w:val="clear" w:color="auto" w:fill="FFFFFF"/>
        </w:rPr>
        <w:t>oraz</w:t>
      </w:r>
      <w:r w:rsidR="001F6797" w:rsidRPr="00A20E9E">
        <w:rPr>
          <w:shd w:val="clear" w:color="auto" w:fill="FFFFFF"/>
        </w:rPr>
        <w:t xml:space="preserve"> </w:t>
      </w:r>
      <w:r w:rsidR="00A25AB4">
        <w:rPr>
          <w:shd w:val="clear" w:color="auto" w:fill="FFFFFF"/>
        </w:rPr>
        <w:t xml:space="preserve">zbiorniki, silosy i budynki magazynowe </w:t>
      </w:r>
      <w:r w:rsidR="00963563">
        <w:rPr>
          <w:shd w:val="clear" w:color="auto" w:fill="FFFFFF"/>
        </w:rPr>
        <w:t>(26,7</w:t>
      </w:r>
      <w:r w:rsidR="001F6797" w:rsidRPr="00A20E9E">
        <w:rPr>
          <w:shd w:val="clear" w:color="auto" w:fill="FFFFFF"/>
        </w:rPr>
        <w:t>%</w:t>
      </w:r>
      <w:r w:rsidR="006D3B7E" w:rsidRPr="006D3B7E">
        <w:rPr>
          <w:shd w:val="clear" w:color="auto" w:fill="FFFFFF"/>
        </w:rPr>
        <w:t xml:space="preserve"> powierzchni użytkowej oddanej do użytkowania), </w:t>
      </w:r>
      <w:r w:rsidR="001F6797">
        <w:rPr>
          <w:shd w:val="clear" w:color="auto" w:fill="FFFFFF"/>
        </w:rPr>
        <w:t xml:space="preserve">natomiast </w:t>
      </w:r>
      <w:r w:rsidR="006B03BF">
        <w:rPr>
          <w:shd w:val="clear" w:color="auto" w:fill="FFFFFF"/>
        </w:rPr>
        <w:t xml:space="preserve">w </w:t>
      </w:r>
      <w:r w:rsidR="001F6797" w:rsidRPr="006D3B7E">
        <w:rPr>
          <w:shd w:val="clear" w:color="auto" w:fill="FFFFFF"/>
        </w:rPr>
        <w:t>województwie</w:t>
      </w:r>
      <w:r w:rsidR="001F6797">
        <w:rPr>
          <w:shd w:val="clear" w:color="auto" w:fill="FFFFFF"/>
        </w:rPr>
        <w:t xml:space="preserve"> śląskim</w:t>
      </w:r>
      <w:r w:rsidR="000E4099">
        <w:rPr>
          <w:shd w:val="clear" w:color="auto" w:fill="FFFFFF"/>
        </w:rPr>
        <w:t xml:space="preserve"> </w:t>
      </w:r>
      <w:r w:rsidR="000E4099" w:rsidRPr="006D3B7E">
        <w:rPr>
          <w:szCs w:val="19"/>
          <w:shd w:val="clear" w:color="auto" w:fill="FFFFFF"/>
        </w:rPr>
        <w:t xml:space="preserve">– </w:t>
      </w:r>
      <w:r w:rsidR="001F6797">
        <w:rPr>
          <w:shd w:val="clear" w:color="auto" w:fill="FFFFFF"/>
        </w:rPr>
        <w:t>zbiorniki, silosy i budynki ma</w:t>
      </w:r>
      <w:r w:rsidR="00361746">
        <w:rPr>
          <w:shd w:val="clear" w:color="auto" w:fill="FFFFFF"/>
        </w:rPr>
        <w:t xml:space="preserve">gazynowe </w:t>
      </w:r>
      <w:r w:rsidR="006B03BF">
        <w:rPr>
          <w:shd w:val="clear" w:color="auto" w:fill="FFFFFF"/>
        </w:rPr>
        <w:t>oraz</w:t>
      </w:r>
      <w:r w:rsidR="001F6797">
        <w:rPr>
          <w:shd w:val="clear" w:color="auto" w:fill="FFFFFF"/>
        </w:rPr>
        <w:t xml:space="preserve"> budynki </w:t>
      </w:r>
      <w:r w:rsidR="00963563">
        <w:rPr>
          <w:shd w:val="clear" w:color="auto" w:fill="FFFFFF"/>
        </w:rPr>
        <w:t>handlowo-usługowe</w:t>
      </w:r>
      <w:r w:rsidR="001F6797">
        <w:rPr>
          <w:shd w:val="clear" w:color="auto" w:fill="FFFFFF"/>
        </w:rPr>
        <w:t xml:space="preserve"> </w:t>
      </w:r>
      <w:r w:rsidR="006D3B7E" w:rsidRPr="00A20E9E">
        <w:rPr>
          <w:szCs w:val="19"/>
          <w:shd w:val="clear" w:color="auto" w:fill="FFFFFF"/>
        </w:rPr>
        <w:t>(</w:t>
      </w:r>
      <w:r w:rsidR="00963563">
        <w:rPr>
          <w:szCs w:val="19"/>
          <w:shd w:val="clear" w:color="auto" w:fill="FFFFFF"/>
        </w:rPr>
        <w:t>31,4</w:t>
      </w:r>
      <w:r w:rsidR="006D3B7E" w:rsidRPr="00A20E9E">
        <w:rPr>
          <w:szCs w:val="19"/>
          <w:shd w:val="clear" w:color="auto" w:fill="FFFFFF"/>
        </w:rPr>
        <w:t xml:space="preserve">% i </w:t>
      </w:r>
      <w:r w:rsidR="00963563">
        <w:rPr>
          <w:szCs w:val="19"/>
          <w:shd w:val="clear" w:color="auto" w:fill="FFFFFF"/>
        </w:rPr>
        <w:t>27,4</w:t>
      </w:r>
      <w:r w:rsidR="006D3B7E" w:rsidRPr="00A20E9E">
        <w:rPr>
          <w:szCs w:val="19"/>
          <w:shd w:val="clear" w:color="auto" w:fill="FFFFFF"/>
        </w:rPr>
        <w:t>%</w:t>
      </w:r>
      <w:r w:rsidR="00A61254" w:rsidRPr="00A20E9E">
        <w:rPr>
          <w:szCs w:val="19"/>
          <w:shd w:val="clear" w:color="auto" w:fill="FFFFFF"/>
        </w:rPr>
        <w:t>).</w:t>
      </w:r>
      <w:r w:rsidR="006D3B7E" w:rsidRPr="006D3B7E">
        <w:rPr>
          <w:shd w:val="clear" w:color="auto" w:fill="FFFFFF"/>
        </w:rPr>
        <w:t xml:space="preserve"> </w:t>
      </w:r>
      <w:r w:rsidR="00833823">
        <w:rPr>
          <w:shd w:val="clear" w:color="auto" w:fill="FFFFFF"/>
        </w:rPr>
        <w:t xml:space="preserve"> </w:t>
      </w:r>
    </w:p>
    <w:p w:rsidR="0064104F" w:rsidRPr="00F428FB" w:rsidRDefault="0064104F" w:rsidP="00420C2A">
      <w:pPr>
        <w:jc w:val="both"/>
        <w:rPr>
          <w:color w:val="2D3A55"/>
          <w:shd w:val="clear" w:color="auto" w:fill="FFFFFF"/>
        </w:rPr>
      </w:pPr>
    </w:p>
    <w:p w:rsidR="0064104F" w:rsidRPr="00D13E4D" w:rsidRDefault="00660957" w:rsidP="00C12D05">
      <w:pPr>
        <w:pStyle w:val="tytuwykresu"/>
        <w:ind w:left="851" w:hanging="851"/>
        <w:rPr>
          <w:sz w:val="19"/>
          <w:szCs w:val="19"/>
          <w:shd w:val="clear" w:color="auto" w:fill="FFFFFF"/>
        </w:rPr>
      </w:pPr>
      <w:r>
        <w:rPr>
          <w:noProof/>
        </w:rPr>
        <w:pict>
          <v:shape id="_x0000_s1033" type="#_x0000_t202" style="position:absolute;left:0;text-align:left;margin-left:415.5pt;margin-top:307.55pt;width:137.2pt;height:220.5pt;z-index:-251653120;visibility:visible;mso-wrap-distance-top:3.6pt;mso-wrap-distance-bottom:3.6pt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" filled="f" stroked="f">
            <v:textbox style="mso-next-textbox:#_x0000_s1033">
              <w:txbxContent>
                <w:p w:rsidR="0064104F" w:rsidRDefault="007F04EF" w:rsidP="007F7483">
                  <w:pPr>
                    <w:pStyle w:val="tekstzboku"/>
                  </w:pPr>
                  <w:r w:rsidRPr="007F04EF">
                    <w:rPr>
                      <w:noProof/>
                    </w:rPr>
                    <w:drawing>
                      <wp:inline distT="0" distB="0" distL="0" distR="0">
                        <wp:extent cx="714375" cy="1228725"/>
                        <wp:effectExtent l="0" t="0" r="0" b="0"/>
                        <wp:docPr id="7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0590E" w:rsidRPr="00D44740" w:rsidRDefault="00E0590E" w:rsidP="00E0590E">
                  <w:pPr>
                    <w:pStyle w:val="tekstzboku"/>
                    <w:rPr>
                      <w:sz w:val="19"/>
                      <w:szCs w:val="19"/>
                    </w:rPr>
                  </w:pPr>
                </w:p>
                <w:p w:rsidR="00F76881" w:rsidRDefault="00F76881" w:rsidP="007F04EF">
                  <w:pPr>
                    <w:pStyle w:val="tekstzboku"/>
                    <w:rPr>
                      <w:sz w:val="19"/>
                      <w:szCs w:val="19"/>
                      <w:shd w:val="clear" w:color="auto" w:fill="FFFFFF"/>
                    </w:rPr>
                  </w:pPr>
                </w:p>
                <w:p w:rsidR="00921240" w:rsidRPr="00D44740" w:rsidRDefault="00E0590E" w:rsidP="007F7483">
                  <w:pPr>
                    <w:pStyle w:val="tekstzboku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Blisko 4</w:t>
                  </w:r>
                  <w:r w:rsidR="008D6BDA">
                    <w:rPr>
                      <w:sz w:val="19"/>
                      <w:szCs w:val="19"/>
                    </w:rPr>
                    <w:t>4</w:t>
                  </w:r>
                  <w:r>
                    <w:rPr>
                      <w:sz w:val="19"/>
                      <w:szCs w:val="19"/>
                    </w:rPr>
                    <w:t xml:space="preserve">% powierzchni użytkowej nowych budynków niemieszkalnych, na których budowę wydano pozwolenia dotyczyło budynków przemysłowych </w:t>
                  </w:r>
                  <w:r w:rsidR="000B6E1A">
                    <w:rPr>
                      <w:sz w:val="19"/>
                      <w:szCs w:val="19"/>
                    </w:rPr>
                    <w:br/>
                  </w:r>
                  <w:r>
                    <w:rPr>
                      <w:sz w:val="19"/>
                      <w:szCs w:val="19"/>
                    </w:rPr>
                    <w:t>i magazynowych</w:t>
                  </w:r>
                  <w:r w:rsidR="007F04EF">
                    <w:rPr>
                      <w:sz w:val="19"/>
                      <w:szCs w:val="19"/>
                    </w:rPr>
                    <w:br/>
                  </w:r>
                </w:p>
                <w:p w:rsidR="00CB1714" w:rsidRDefault="00CB1714" w:rsidP="007F7483">
                  <w:pPr>
                    <w:pStyle w:val="tekstzboku"/>
                  </w:pPr>
                </w:p>
                <w:p w:rsidR="00CB1714" w:rsidRDefault="00CB1714" w:rsidP="007F7483">
                  <w:pPr>
                    <w:pStyle w:val="tekstzboku"/>
                  </w:pPr>
                </w:p>
                <w:p w:rsidR="00A07F6D" w:rsidRDefault="00A07F6D" w:rsidP="007F7483">
                  <w:pPr>
                    <w:pStyle w:val="tekstzboku"/>
                  </w:pPr>
                </w:p>
                <w:p w:rsidR="00921240" w:rsidRDefault="00921240" w:rsidP="007F7483">
                  <w:pPr>
                    <w:pStyle w:val="tekstzboku"/>
                  </w:pPr>
                </w:p>
                <w:p w:rsidR="00921240" w:rsidRDefault="00921240" w:rsidP="007F7483">
                  <w:pPr>
                    <w:pStyle w:val="tekstzboku"/>
                  </w:pPr>
                </w:p>
                <w:p w:rsidR="00921240" w:rsidRDefault="00921240" w:rsidP="007F7483">
                  <w:pPr>
                    <w:pStyle w:val="tekstzboku"/>
                  </w:pPr>
                </w:p>
                <w:p w:rsidR="00921240" w:rsidRDefault="00921240" w:rsidP="007F7483">
                  <w:pPr>
                    <w:pStyle w:val="tekstzboku"/>
                  </w:pPr>
                </w:p>
                <w:p w:rsidR="00921240" w:rsidRDefault="00921240" w:rsidP="007F7483">
                  <w:pPr>
                    <w:pStyle w:val="tekstzboku"/>
                  </w:pPr>
                </w:p>
                <w:p w:rsidR="00921240" w:rsidRDefault="00921240" w:rsidP="007F7483">
                  <w:pPr>
                    <w:pStyle w:val="tekstzboku"/>
                  </w:pPr>
                  <w:r>
                    <w:t>11111</w:t>
                  </w:r>
                </w:p>
                <w:p w:rsidR="0064104F" w:rsidRDefault="0064104F" w:rsidP="007F7483">
                  <w:pPr>
                    <w:pStyle w:val="tekstzboku"/>
                  </w:pPr>
                </w:p>
                <w:p w:rsidR="0064104F" w:rsidRDefault="0064104F" w:rsidP="007F7483">
                  <w:pPr>
                    <w:pStyle w:val="tekstzboku"/>
                  </w:pPr>
                </w:p>
                <w:p w:rsidR="0064104F" w:rsidRDefault="0064104F" w:rsidP="007F7483">
                  <w:pPr>
                    <w:pStyle w:val="tekstzboku"/>
                  </w:pPr>
                </w:p>
                <w:p w:rsidR="0064104F" w:rsidRDefault="0064104F" w:rsidP="007F7483">
                  <w:pPr>
                    <w:pStyle w:val="tekstzboku"/>
                  </w:pPr>
                </w:p>
                <w:p w:rsidR="0064104F" w:rsidRDefault="0064104F" w:rsidP="007F7483">
                  <w:pPr>
                    <w:pStyle w:val="tekstzboku"/>
                  </w:pPr>
                </w:p>
                <w:p w:rsidR="0064104F" w:rsidRDefault="0064104F" w:rsidP="007F7483">
                  <w:pPr>
                    <w:pStyle w:val="tekstzboku"/>
                  </w:pPr>
                </w:p>
                <w:p w:rsidR="0064104F" w:rsidRDefault="0064104F" w:rsidP="007F7483">
                  <w:pPr>
                    <w:pStyle w:val="tekstzboku"/>
                  </w:pPr>
                </w:p>
                <w:p w:rsidR="0064104F" w:rsidRDefault="0064104F" w:rsidP="007F7483">
                  <w:pPr>
                    <w:pStyle w:val="tekstzboku"/>
                  </w:pPr>
                </w:p>
                <w:p w:rsidR="0064104F" w:rsidRDefault="0064104F" w:rsidP="007F7483">
                  <w:pPr>
                    <w:pStyle w:val="tekstzboku"/>
                  </w:pPr>
                </w:p>
                <w:p w:rsidR="0064104F" w:rsidRDefault="0064104F" w:rsidP="007F7483">
                  <w:pPr>
                    <w:pStyle w:val="tekstzboku"/>
                  </w:pPr>
                </w:p>
                <w:p w:rsidR="0064104F" w:rsidRDefault="0064104F" w:rsidP="007F7483">
                  <w:pPr>
                    <w:pStyle w:val="tekstzboku"/>
                  </w:pPr>
                </w:p>
                <w:p w:rsidR="0064104F" w:rsidRDefault="0064104F" w:rsidP="007F7483">
                  <w:pPr>
                    <w:pStyle w:val="tekstzboku"/>
                  </w:pPr>
                </w:p>
                <w:p w:rsidR="0064104F" w:rsidRDefault="0064104F" w:rsidP="007F7483">
                  <w:pPr>
                    <w:pStyle w:val="tekstzboku"/>
                  </w:pPr>
                </w:p>
                <w:p w:rsidR="0064104F" w:rsidRDefault="0064104F" w:rsidP="007F7483">
                  <w:pPr>
                    <w:pStyle w:val="tekstzboku"/>
                  </w:pPr>
                </w:p>
                <w:p w:rsidR="0064104F" w:rsidRDefault="0064104F" w:rsidP="007F7483">
                  <w:pPr>
                    <w:pStyle w:val="tekstzboku"/>
                  </w:pPr>
                </w:p>
                <w:p w:rsidR="0064104F" w:rsidRDefault="0064104F" w:rsidP="007F7483">
                  <w:pPr>
                    <w:pStyle w:val="tekstzboku"/>
                  </w:pPr>
                </w:p>
                <w:p w:rsidR="0064104F" w:rsidRDefault="0064104F" w:rsidP="007F7483">
                  <w:pPr>
                    <w:pStyle w:val="tekstzboku"/>
                  </w:pPr>
                </w:p>
                <w:p w:rsidR="0064104F" w:rsidRDefault="0064104F" w:rsidP="007F7483">
                  <w:pPr>
                    <w:pStyle w:val="tekstzboku"/>
                  </w:pPr>
                </w:p>
                <w:p w:rsidR="0064104F" w:rsidRDefault="0064104F" w:rsidP="009249D6">
                  <w:pPr>
                    <w:pStyle w:val="tekstzboku"/>
                  </w:pPr>
                  <w:r w:rsidRPr="009E0D29">
                    <w:rPr>
                      <w:sz w:val="19"/>
                      <w:szCs w:val="19"/>
                    </w:rPr>
                    <w:t>Powierzchnia użytkowa budynków niemieszkalnych oddanych do użytkowania według województw</w:t>
                  </w:r>
                  <w:r w:rsidR="009249D6">
                    <w:rPr>
                      <w:sz w:val="19"/>
                      <w:szCs w:val="19"/>
                    </w:rPr>
                    <w:t>.</w:t>
                  </w:r>
                  <w:r w:rsidRPr="007961A8">
                    <w:t xml:space="preserve"> </w:t>
                  </w: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Default="009249D6" w:rsidP="009249D6">
                  <w:pPr>
                    <w:pStyle w:val="tekstzboku"/>
                  </w:pPr>
                </w:p>
                <w:p w:rsidR="009249D6" w:rsidRPr="007961A8" w:rsidRDefault="009249D6" w:rsidP="009249D6">
                  <w:pPr>
                    <w:pStyle w:val="tekstzboku"/>
                  </w:pPr>
                </w:p>
                <w:p w:rsidR="0064104F" w:rsidRPr="002A437B" w:rsidRDefault="009249D6" w:rsidP="007F7483">
                  <w:pPr>
                    <w:spacing w:after="0"/>
                    <w:rPr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 w:rsidRPr="009E0D29">
                    <w:rPr>
                      <w:szCs w:val="19"/>
                    </w:rPr>
                    <w:t>Powierzchnia użytkowa budynków niemieszkalnych oddanych do użytkowania według województw</w:t>
                  </w:r>
                </w:p>
              </w:txbxContent>
            </v:textbox>
            <w10:wrap type="tight"/>
          </v:shape>
        </w:pict>
      </w:r>
      <w:r w:rsidR="0064104F" w:rsidRPr="00D13E4D">
        <w:rPr>
          <w:sz w:val="19"/>
          <w:szCs w:val="19"/>
        </w:rPr>
        <w:t xml:space="preserve">Wykres 2. </w:t>
      </w:r>
      <w:r w:rsidR="0064104F" w:rsidRPr="00D13E4D">
        <w:rPr>
          <w:sz w:val="19"/>
          <w:szCs w:val="19"/>
          <w:shd w:val="clear" w:color="auto" w:fill="FFFFFF"/>
        </w:rPr>
        <w:t>Powierzchnia użytkowa nowych budynków niemieszkalnych oddanych do użytkowania według województw.</w:t>
      </w:r>
    </w:p>
    <w:p w:rsidR="00E46149" w:rsidRPr="006738A9" w:rsidRDefault="001B2192" w:rsidP="00D732E9">
      <w:pPr>
        <w:pStyle w:val="tytuwykresu"/>
        <w:rPr>
          <w:shd w:val="clear" w:color="auto" w:fill="FFFFFF"/>
        </w:rPr>
      </w:pPr>
      <w:r w:rsidRPr="001B2192">
        <w:rPr>
          <w:noProof/>
          <w:lang w:eastAsia="pl-PL"/>
        </w:rPr>
        <w:drawing>
          <wp:anchor distT="0" distB="0" distL="114300" distR="114300" simplePos="0" relativeHeight="251652608" behindDoc="0" locked="0" layoutInCell="1" allowOverlap="1" wp14:anchorId="1878C6ED" wp14:editId="5799EB15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5122545" cy="3658235"/>
            <wp:effectExtent l="0" t="0" r="190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D94" w:rsidRDefault="00161D94" w:rsidP="00A20F36">
      <w:pPr>
        <w:rPr>
          <w:szCs w:val="19"/>
          <w:shd w:val="clear" w:color="auto" w:fill="FFFFFF"/>
        </w:rPr>
      </w:pPr>
    </w:p>
    <w:p w:rsidR="006D5022" w:rsidRPr="00F11A4E" w:rsidRDefault="00C76B2F" w:rsidP="00F11A4E">
      <w:pPr>
        <w:rPr>
          <w:color w:val="000000"/>
          <w:szCs w:val="19"/>
        </w:rPr>
      </w:pPr>
      <w:r>
        <w:rPr>
          <w:szCs w:val="19"/>
          <w:shd w:val="clear" w:color="auto" w:fill="FFFFFF"/>
        </w:rPr>
        <w:t>W</w:t>
      </w:r>
      <w:r w:rsidR="00B9356F" w:rsidRPr="00E64644">
        <w:rPr>
          <w:szCs w:val="19"/>
          <w:shd w:val="clear" w:color="auto" w:fill="FFFFFF"/>
        </w:rPr>
        <w:t xml:space="preserve"> </w:t>
      </w:r>
      <w:r w:rsidR="00B935E9">
        <w:rPr>
          <w:szCs w:val="19"/>
          <w:shd w:val="clear" w:color="auto" w:fill="FFFFFF"/>
        </w:rPr>
        <w:t>I kw.</w:t>
      </w:r>
      <w:r w:rsidR="00553348">
        <w:rPr>
          <w:szCs w:val="19"/>
          <w:shd w:val="clear" w:color="auto" w:fill="FFFFFF"/>
        </w:rPr>
        <w:t xml:space="preserve"> </w:t>
      </w:r>
      <w:r w:rsidR="00B9356F" w:rsidRPr="00E64644">
        <w:rPr>
          <w:szCs w:val="19"/>
          <w:shd w:val="clear" w:color="auto" w:fill="FFFFFF"/>
        </w:rPr>
        <w:t>201</w:t>
      </w:r>
      <w:r w:rsidR="00A8668F">
        <w:rPr>
          <w:szCs w:val="19"/>
          <w:shd w:val="clear" w:color="auto" w:fill="FFFFFF"/>
        </w:rPr>
        <w:t>8</w:t>
      </w:r>
      <w:r w:rsidR="00553348">
        <w:rPr>
          <w:szCs w:val="19"/>
          <w:shd w:val="clear" w:color="auto" w:fill="FFFFFF"/>
        </w:rPr>
        <w:t xml:space="preserve"> r.</w:t>
      </w:r>
      <w:r w:rsidR="00B9356F" w:rsidRPr="00E64644">
        <w:rPr>
          <w:szCs w:val="19"/>
          <w:shd w:val="clear" w:color="auto" w:fill="FFFFFF"/>
        </w:rPr>
        <w:t xml:space="preserve"> wydano pozwolenia lub dokonano zgłoszenia z projektem budowlanym na budowę mniejszej liczby nowych budynków niemieszkal</w:t>
      </w:r>
      <w:r w:rsidR="00EF0EFB" w:rsidRPr="00E64644">
        <w:rPr>
          <w:szCs w:val="19"/>
          <w:shd w:val="clear" w:color="auto" w:fill="FFFFFF"/>
        </w:rPr>
        <w:t>nych (</w:t>
      </w:r>
      <w:r w:rsidR="0023734A">
        <w:rPr>
          <w:szCs w:val="19"/>
          <w:shd w:val="clear" w:color="auto" w:fill="FFFFFF"/>
        </w:rPr>
        <w:t>6034</w:t>
      </w:r>
      <w:r w:rsidR="00EF0EFB" w:rsidRPr="00E64644">
        <w:rPr>
          <w:szCs w:val="19"/>
          <w:shd w:val="clear" w:color="auto" w:fill="FFFFFF"/>
        </w:rPr>
        <w:t xml:space="preserve">) niż </w:t>
      </w:r>
      <w:r w:rsidR="00B935E9">
        <w:rPr>
          <w:szCs w:val="19"/>
          <w:shd w:val="clear" w:color="auto" w:fill="FFFFFF"/>
        </w:rPr>
        <w:t>przed rokiem</w:t>
      </w:r>
      <w:r w:rsidR="00EF0EFB" w:rsidRPr="00E64644">
        <w:rPr>
          <w:szCs w:val="19"/>
          <w:shd w:val="clear" w:color="auto" w:fill="FFFFFF"/>
        </w:rPr>
        <w:t xml:space="preserve"> (</w:t>
      </w:r>
      <w:r w:rsidR="0023734A">
        <w:rPr>
          <w:szCs w:val="19"/>
          <w:shd w:val="clear" w:color="auto" w:fill="FFFFFF"/>
        </w:rPr>
        <w:t>6335</w:t>
      </w:r>
      <w:r w:rsidR="00B9356F" w:rsidRPr="00E64644">
        <w:rPr>
          <w:szCs w:val="19"/>
          <w:shd w:val="clear" w:color="auto" w:fill="FFFFFF"/>
        </w:rPr>
        <w:t>)</w:t>
      </w:r>
      <w:r w:rsidR="00B935E9">
        <w:rPr>
          <w:szCs w:val="19"/>
          <w:shd w:val="clear" w:color="auto" w:fill="FFFFFF"/>
        </w:rPr>
        <w:t>,</w:t>
      </w:r>
      <w:r w:rsidR="00B9356F" w:rsidRPr="00E64644">
        <w:rPr>
          <w:szCs w:val="19"/>
          <w:shd w:val="clear" w:color="auto" w:fill="FFFFFF"/>
        </w:rPr>
        <w:t xml:space="preserve"> a</w:t>
      </w:r>
      <w:r w:rsidR="005D4E8B">
        <w:rPr>
          <w:szCs w:val="19"/>
          <w:shd w:val="clear" w:color="auto" w:fill="FFFFFF"/>
        </w:rPr>
        <w:t>le ich</w:t>
      </w:r>
      <w:r w:rsidR="00B9356F" w:rsidRPr="00E64644">
        <w:rPr>
          <w:szCs w:val="19"/>
          <w:shd w:val="clear" w:color="auto" w:fill="FFFFFF"/>
        </w:rPr>
        <w:t xml:space="preserve"> powierzchnia użytkowa</w:t>
      </w:r>
      <w:r w:rsidR="008F06DF">
        <w:rPr>
          <w:szCs w:val="19"/>
          <w:shd w:val="clear" w:color="auto" w:fill="FFFFFF"/>
        </w:rPr>
        <w:t xml:space="preserve"> w stosunku do </w:t>
      </w:r>
      <w:r w:rsidR="005973DD">
        <w:rPr>
          <w:szCs w:val="19"/>
          <w:shd w:val="clear" w:color="auto" w:fill="FFFFFF"/>
        </w:rPr>
        <w:t>analogicznego okresu</w:t>
      </w:r>
      <w:r w:rsidR="008F06DF">
        <w:rPr>
          <w:szCs w:val="19"/>
          <w:shd w:val="clear" w:color="auto" w:fill="FFFFFF"/>
        </w:rPr>
        <w:t xml:space="preserve"> poprzedniego</w:t>
      </w:r>
      <w:r w:rsidR="005973DD">
        <w:rPr>
          <w:szCs w:val="19"/>
          <w:shd w:val="clear" w:color="auto" w:fill="FFFFFF"/>
        </w:rPr>
        <w:t xml:space="preserve"> roku</w:t>
      </w:r>
      <w:r w:rsidR="00B9356F" w:rsidRPr="00E64644">
        <w:rPr>
          <w:szCs w:val="19"/>
          <w:shd w:val="clear" w:color="auto" w:fill="FFFFFF"/>
        </w:rPr>
        <w:t xml:space="preserve"> z</w:t>
      </w:r>
      <w:r w:rsidR="005D4E8B">
        <w:rPr>
          <w:szCs w:val="19"/>
          <w:shd w:val="clear" w:color="auto" w:fill="FFFFFF"/>
        </w:rPr>
        <w:t>więk</w:t>
      </w:r>
      <w:r w:rsidR="00B9356F" w:rsidRPr="00E64644">
        <w:rPr>
          <w:szCs w:val="19"/>
          <w:shd w:val="clear" w:color="auto" w:fill="FFFFFF"/>
        </w:rPr>
        <w:t xml:space="preserve">szyła się o </w:t>
      </w:r>
      <w:r w:rsidR="005D4E8B">
        <w:rPr>
          <w:szCs w:val="19"/>
          <w:shd w:val="clear" w:color="auto" w:fill="FFFFFF"/>
        </w:rPr>
        <w:t>21,1</w:t>
      </w:r>
      <w:r w:rsidR="00B9356F" w:rsidRPr="00E64644">
        <w:rPr>
          <w:szCs w:val="19"/>
          <w:shd w:val="clear" w:color="auto" w:fill="FFFFFF"/>
        </w:rPr>
        <w:t xml:space="preserve">%. Największy udział powierzchni dotyczył budynków przemysłowych </w:t>
      </w:r>
      <w:r w:rsidR="0058529D">
        <w:rPr>
          <w:szCs w:val="19"/>
          <w:shd w:val="clear" w:color="auto" w:fill="FFFFFF"/>
        </w:rPr>
        <w:br/>
      </w:r>
      <w:r w:rsidR="00B9356F" w:rsidRPr="00E64644">
        <w:rPr>
          <w:szCs w:val="19"/>
          <w:shd w:val="clear" w:color="auto" w:fill="FFFFFF"/>
        </w:rPr>
        <w:t>i magazynowych</w:t>
      </w:r>
      <w:r w:rsidR="008F06DF">
        <w:rPr>
          <w:szCs w:val="19"/>
          <w:shd w:val="clear" w:color="auto" w:fill="FFFFFF"/>
        </w:rPr>
        <w:t xml:space="preserve"> –</w:t>
      </w:r>
      <w:r w:rsidR="00B9356F" w:rsidRPr="00E64644">
        <w:rPr>
          <w:szCs w:val="19"/>
          <w:shd w:val="clear" w:color="auto" w:fill="FFFFFF"/>
        </w:rPr>
        <w:t xml:space="preserve"> </w:t>
      </w:r>
      <w:r w:rsidR="005D4E8B">
        <w:rPr>
          <w:szCs w:val="19"/>
          <w:shd w:val="clear" w:color="auto" w:fill="FFFFFF"/>
        </w:rPr>
        <w:t>43,5</w:t>
      </w:r>
      <w:r w:rsidR="00B9356F" w:rsidRPr="00E64644">
        <w:rPr>
          <w:szCs w:val="19"/>
          <w:shd w:val="clear" w:color="auto" w:fill="FFFFFF"/>
        </w:rPr>
        <w:t>%</w:t>
      </w:r>
      <w:r w:rsidR="008F06DF">
        <w:rPr>
          <w:szCs w:val="19"/>
          <w:shd w:val="clear" w:color="auto" w:fill="FFFFFF"/>
        </w:rPr>
        <w:t xml:space="preserve"> (przy wzroście powierzchni </w:t>
      </w:r>
      <w:r w:rsidR="00F10DEB">
        <w:rPr>
          <w:szCs w:val="19"/>
          <w:shd w:val="clear" w:color="auto" w:fill="FFFFFF"/>
        </w:rPr>
        <w:t>o</w:t>
      </w:r>
      <w:r w:rsidR="00B9356F" w:rsidRPr="00E64644">
        <w:rPr>
          <w:szCs w:val="19"/>
          <w:shd w:val="clear" w:color="auto" w:fill="FFFFFF"/>
        </w:rPr>
        <w:t xml:space="preserve"> </w:t>
      </w:r>
      <w:r w:rsidR="00F10DEB">
        <w:rPr>
          <w:szCs w:val="19"/>
          <w:shd w:val="clear" w:color="auto" w:fill="FFFFFF"/>
        </w:rPr>
        <w:t>45,2</w:t>
      </w:r>
      <w:r w:rsidR="00B9356F" w:rsidRPr="00E64644">
        <w:rPr>
          <w:szCs w:val="19"/>
          <w:shd w:val="clear" w:color="auto" w:fill="FFFFFF"/>
        </w:rPr>
        <w:t>%</w:t>
      </w:r>
      <w:r w:rsidR="008F06DF">
        <w:rPr>
          <w:szCs w:val="19"/>
          <w:shd w:val="clear" w:color="auto" w:fill="FFFFFF"/>
        </w:rPr>
        <w:t>)</w:t>
      </w:r>
      <w:r w:rsidR="00B9356F" w:rsidRPr="00E64644">
        <w:rPr>
          <w:szCs w:val="19"/>
          <w:shd w:val="clear" w:color="auto" w:fill="FFFFFF"/>
        </w:rPr>
        <w:t>. Powierzchnia pozostałych budynków niemieszkalnych (</w:t>
      </w:r>
      <w:r w:rsidR="003C09EB" w:rsidRPr="00E64644">
        <w:rPr>
          <w:szCs w:val="19"/>
          <w:shd w:val="clear" w:color="auto" w:fill="FFFFFF"/>
        </w:rPr>
        <w:t>m.in</w:t>
      </w:r>
      <w:r w:rsidR="00B9356F" w:rsidRPr="00E64644">
        <w:rPr>
          <w:szCs w:val="19"/>
          <w:shd w:val="clear" w:color="auto" w:fill="FFFFFF"/>
        </w:rPr>
        <w:t xml:space="preserve">. budynków </w:t>
      </w:r>
      <w:r w:rsidR="00B9356F" w:rsidRPr="00E64644">
        <w:rPr>
          <w:color w:val="000000"/>
          <w:szCs w:val="19"/>
        </w:rPr>
        <w:t xml:space="preserve">gospodarstw rolnych i </w:t>
      </w:r>
      <w:r w:rsidR="003C09EB" w:rsidRPr="00E64644">
        <w:rPr>
          <w:color w:val="000000"/>
          <w:szCs w:val="19"/>
        </w:rPr>
        <w:t xml:space="preserve">budynków </w:t>
      </w:r>
      <w:r w:rsidR="00B9356F" w:rsidRPr="00E64644">
        <w:rPr>
          <w:color w:val="000000"/>
          <w:szCs w:val="19"/>
        </w:rPr>
        <w:t>magazynowych</w:t>
      </w:r>
      <w:r w:rsidR="003C09EB" w:rsidRPr="00E64644">
        <w:rPr>
          <w:color w:val="000000"/>
          <w:szCs w:val="19"/>
        </w:rPr>
        <w:t xml:space="preserve"> dla działalności</w:t>
      </w:r>
      <w:r w:rsidR="00B9356F" w:rsidRPr="00E64644">
        <w:rPr>
          <w:color w:val="000000"/>
          <w:szCs w:val="19"/>
        </w:rPr>
        <w:t xml:space="preserve"> rolni</w:t>
      </w:r>
      <w:r w:rsidR="003C09EB" w:rsidRPr="00E64644">
        <w:rPr>
          <w:color w:val="000000"/>
          <w:szCs w:val="19"/>
        </w:rPr>
        <w:t>czej</w:t>
      </w:r>
      <w:r>
        <w:rPr>
          <w:color w:val="000000"/>
          <w:szCs w:val="19"/>
        </w:rPr>
        <w:t>) stanowiła</w:t>
      </w:r>
      <w:r w:rsidR="00F10DEB">
        <w:rPr>
          <w:szCs w:val="19"/>
          <w:shd w:val="clear" w:color="auto" w:fill="FFFFFF"/>
        </w:rPr>
        <w:t xml:space="preserve"> 20,4</w:t>
      </w:r>
      <w:r w:rsidR="00B9356F" w:rsidRPr="00E64644">
        <w:rPr>
          <w:szCs w:val="19"/>
          <w:shd w:val="clear" w:color="auto" w:fill="FFFFFF"/>
        </w:rPr>
        <w:t xml:space="preserve">% ogółu powierzchni (przy jej spadku o </w:t>
      </w:r>
      <w:r w:rsidR="00F10DEB">
        <w:rPr>
          <w:szCs w:val="19"/>
          <w:shd w:val="clear" w:color="auto" w:fill="FFFFFF"/>
        </w:rPr>
        <w:t>13,3</w:t>
      </w:r>
      <w:r w:rsidR="00B9356F" w:rsidRPr="00E64644">
        <w:rPr>
          <w:szCs w:val="19"/>
          <w:shd w:val="clear" w:color="auto" w:fill="FFFFFF"/>
        </w:rPr>
        <w:t>%)</w:t>
      </w:r>
      <w:r w:rsidR="008A29D6" w:rsidRPr="00E64644">
        <w:rPr>
          <w:szCs w:val="19"/>
          <w:shd w:val="clear" w:color="auto" w:fill="FFFFFF"/>
        </w:rPr>
        <w:t>;</w:t>
      </w:r>
      <w:r w:rsidR="00587857">
        <w:rPr>
          <w:szCs w:val="19"/>
          <w:shd w:val="clear" w:color="auto" w:fill="FFFFFF"/>
        </w:rPr>
        <w:t xml:space="preserve"> budynków handlow</w:t>
      </w:r>
      <w:r w:rsidR="006E658B">
        <w:rPr>
          <w:szCs w:val="19"/>
          <w:shd w:val="clear" w:color="auto" w:fill="FFFFFF"/>
        </w:rPr>
        <w:t>o-</w:t>
      </w:r>
      <w:r w:rsidR="00B9356F" w:rsidRPr="00E64644">
        <w:rPr>
          <w:szCs w:val="19"/>
          <w:shd w:val="clear" w:color="auto" w:fill="FFFFFF"/>
        </w:rPr>
        <w:t xml:space="preserve">usługowych </w:t>
      </w:r>
      <w:r w:rsidR="00EF0EFB" w:rsidRPr="00E64644">
        <w:rPr>
          <w:szCs w:val="19"/>
          <w:shd w:val="clear" w:color="auto" w:fill="FFFFFF"/>
        </w:rPr>
        <w:t>–</w:t>
      </w:r>
      <w:r w:rsidR="00F10DEB">
        <w:rPr>
          <w:szCs w:val="19"/>
          <w:shd w:val="clear" w:color="auto" w:fill="FFFFFF"/>
        </w:rPr>
        <w:t xml:space="preserve"> 11,8</w:t>
      </w:r>
      <w:r w:rsidR="00EF0EFB" w:rsidRPr="00E64644">
        <w:rPr>
          <w:szCs w:val="19"/>
          <w:shd w:val="clear" w:color="auto" w:fill="FFFFFF"/>
        </w:rPr>
        <w:t>% (</w:t>
      </w:r>
      <w:r w:rsidR="00F10DEB">
        <w:rPr>
          <w:szCs w:val="19"/>
          <w:shd w:val="clear" w:color="auto" w:fill="FFFFFF"/>
        </w:rPr>
        <w:t>wzrost</w:t>
      </w:r>
      <w:r w:rsidR="00E64644">
        <w:rPr>
          <w:szCs w:val="19"/>
          <w:shd w:val="clear" w:color="auto" w:fill="FFFFFF"/>
        </w:rPr>
        <w:t xml:space="preserve"> </w:t>
      </w:r>
      <w:r w:rsidR="00EF0EFB" w:rsidRPr="00E64644">
        <w:rPr>
          <w:szCs w:val="19"/>
          <w:shd w:val="clear" w:color="auto" w:fill="FFFFFF"/>
        </w:rPr>
        <w:t xml:space="preserve">o </w:t>
      </w:r>
      <w:r w:rsidR="00F10DEB">
        <w:rPr>
          <w:szCs w:val="19"/>
          <w:shd w:val="clear" w:color="auto" w:fill="FFFFFF"/>
        </w:rPr>
        <w:t>17,3</w:t>
      </w:r>
      <w:r w:rsidR="00EF0EFB" w:rsidRPr="00E64644">
        <w:rPr>
          <w:szCs w:val="19"/>
          <w:shd w:val="clear" w:color="auto" w:fill="FFFFFF"/>
        </w:rPr>
        <w:t>%</w:t>
      </w:r>
      <w:r w:rsidR="00B9356F" w:rsidRPr="00E64644">
        <w:rPr>
          <w:szCs w:val="19"/>
          <w:shd w:val="clear" w:color="auto" w:fill="FFFFFF"/>
        </w:rPr>
        <w:t>)</w:t>
      </w:r>
      <w:r w:rsidR="008A29D6" w:rsidRPr="00E64644">
        <w:rPr>
          <w:szCs w:val="19"/>
          <w:shd w:val="clear" w:color="auto" w:fill="FFFFFF"/>
        </w:rPr>
        <w:t>;</w:t>
      </w:r>
      <w:r w:rsidR="00B9356F" w:rsidRPr="00E64644">
        <w:rPr>
          <w:szCs w:val="19"/>
          <w:shd w:val="clear" w:color="auto" w:fill="FFFFFF"/>
        </w:rPr>
        <w:t xml:space="preserve"> </w:t>
      </w:r>
      <w:r w:rsidR="00F10DEB">
        <w:rPr>
          <w:szCs w:val="19"/>
          <w:shd w:val="clear" w:color="auto" w:fill="FFFFFF"/>
        </w:rPr>
        <w:t xml:space="preserve"> hoteli i budynków zakwaterowania turystycznego – 9,5% (</w:t>
      </w:r>
      <w:r w:rsidR="008F06DF">
        <w:rPr>
          <w:szCs w:val="19"/>
          <w:shd w:val="clear" w:color="auto" w:fill="FFFFFF"/>
        </w:rPr>
        <w:t xml:space="preserve">ponad </w:t>
      </w:r>
      <w:r w:rsidR="00F10DEB">
        <w:rPr>
          <w:szCs w:val="19"/>
          <w:shd w:val="clear" w:color="auto" w:fill="FFFFFF"/>
        </w:rPr>
        <w:t>2,5 krotny</w:t>
      </w:r>
      <w:r w:rsidR="008F06DF">
        <w:rPr>
          <w:szCs w:val="19"/>
          <w:shd w:val="clear" w:color="auto" w:fill="FFFFFF"/>
        </w:rPr>
        <w:t xml:space="preserve"> wzrost</w:t>
      </w:r>
      <w:r w:rsidR="00190E0D">
        <w:rPr>
          <w:szCs w:val="19"/>
          <w:shd w:val="clear" w:color="auto" w:fill="FFFFFF"/>
        </w:rPr>
        <w:t xml:space="preserve"> powierzchni</w:t>
      </w:r>
      <w:r w:rsidR="008F06DF">
        <w:rPr>
          <w:szCs w:val="19"/>
          <w:shd w:val="clear" w:color="auto" w:fill="FFFFFF"/>
        </w:rPr>
        <w:t>);</w:t>
      </w:r>
      <w:r w:rsidR="00B9356F" w:rsidRPr="00E64644">
        <w:rPr>
          <w:szCs w:val="19"/>
          <w:shd w:val="clear" w:color="auto" w:fill="FFFFFF"/>
        </w:rPr>
        <w:t xml:space="preserve"> o</w:t>
      </w:r>
      <w:r w:rsidR="00B9356F" w:rsidRPr="00E64644">
        <w:rPr>
          <w:color w:val="000000"/>
          <w:szCs w:val="19"/>
        </w:rPr>
        <w:t>gólnodostępnych obiektów kulturalnych, budynków o charakterze edukacyjnym</w:t>
      </w:r>
      <w:r w:rsidR="00535B20" w:rsidRPr="00E64644">
        <w:rPr>
          <w:color w:val="000000"/>
          <w:szCs w:val="19"/>
        </w:rPr>
        <w:t>,</w:t>
      </w:r>
      <w:r w:rsidR="009B48DD">
        <w:rPr>
          <w:szCs w:val="19"/>
        </w:rPr>
        <w:t xml:space="preserve"> szpitali</w:t>
      </w:r>
      <w:r w:rsidR="00535B20" w:rsidRPr="00E64644">
        <w:rPr>
          <w:szCs w:val="19"/>
        </w:rPr>
        <w:t xml:space="preserve"> i zakładów opieki medycznej oraz kultury fizycznej</w:t>
      </w:r>
      <w:r w:rsidR="00B9356F" w:rsidRPr="00E64644">
        <w:rPr>
          <w:color w:val="000000"/>
          <w:szCs w:val="19"/>
        </w:rPr>
        <w:t xml:space="preserve"> </w:t>
      </w:r>
      <w:r w:rsidR="00EF0EFB" w:rsidRPr="00E64644">
        <w:rPr>
          <w:szCs w:val="19"/>
          <w:shd w:val="clear" w:color="auto" w:fill="FFFFFF"/>
        </w:rPr>
        <w:t>–</w:t>
      </w:r>
      <w:r w:rsidR="00180E85">
        <w:rPr>
          <w:szCs w:val="19"/>
          <w:shd w:val="clear" w:color="auto" w:fill="FFFFFF"/>
        </w:rPr>
        <w:t xml:space="preserve"> </w:t>
      </w:r>
      <w:r w:rsidR="00190E0D">
        <w:rPr>
          <w:szCs w:val="19"/>
          <w:shd w:val="clear" w:color="auto" w:fill="FFFFFF"/>
        </w:rPr>
        <w:t>7,7</w:t>
      </w:r>
      <w:r w:rsidR="00B9356F" w:rsidRPr="00E64644">
        <w:rPr>
          <w:color w:val="000000"/>
          <w:szCs w:val="19"/>
        </w:rPr>
        <w:t>%</w:t>
      </w:r>
      <w:r w:rsidR="00190E0D">
        <w:rPr>
          <w:color w:val="000000"/>
          <w:szCs w:val="19"/>
        </w:rPr>
        <w:t xml:space="preserve"> (wzrost o 12,9%), </w:t>
      </w:r>
      <w:r w:rsidR="00190E0D">
        <w:rPr>
          <w:szCs w:val="19"/>
          <w:shd w:val="clear" w:color="auto" w:fill="FFFFFF"/>
        </w:rPr>
        <w:t xml:space="preserve">a </w:t>
      </w:r>
      <w:r w:rsidR="00190E0D" w:rsidRPr="00E64644">
        <w:rPr>
          <w:szCs w:val="19"/>
          <w:shd w:val="clear" w:color="auto" w:fill="FFFFFF"/>
        </w:rPr>
        <w:t xml:space="preserve">biurowych </w:t>
      </w:r>
      <w:r w:rsidR="00190E0D">
        <w:rPr>
          <w:szCs w:val="19"/>
          <w:shd w:val="clear" w:color="auto" w:fill="FFFFFF"/>
        </w:rPr>
        <w:t>–</w:t>
      </w:r>
      <w:r w:rsidR="00190E0D" w:rsidRPr="00E64644">
        <w:rPr>
          <w:szCs w:val="19"/>
          <w:shd w:val="clear" w:color="auto" w:fill="FFFFFF"/>
        </w:rPr>
        <w:t xml:space="preserve"> </w:t>
      </w:r>
      <w:r w:rsidR="00190E0D">
        <w:rPr>
          <w:szCs w:val="19"/>
          <w:shd w:val="clear" w:color="auto" w:fill="FFFFFF"/>
        </w:rPr>
        <w:t>5,2</w:t>
      </w:r>
      <w:r w:rsidR="00E82417">
        <w:rPr>
          <w:szCs w:val="19"/>
          <w:shd w:val="clear" w:color="auto" w:fill="FFFFFF"/>
        </w:rPr>
        <w:t>%</w:t>
      </w:r>
      <w:r w:rsidR="00B9356F" w:rsidRPr="00E64644">
        <w:rPr>
          <w:color w:val="000000"/>
          <w:szCs w:val="19"/>
        </w:rPr>
        <w:t xml:space="preserve"> powierzchni użytkowej, na</w:t>
      </w:r>
      <w:r w:rsidR="00B9356F" w:rsidRPr="00E64644">
        <w:rPr>
          <w:szCs w:val="19"/>
          <w:shd w:val="clear" w:color="auto" w:fill="FFFFFF"/>
        </w:rPr>
        <w:t xml:space="preserve"> której budowę wydano pozwolenia, przy jej </w:t>
      </w:r>
      <w:r w:rsidR="00190E0D">
        <w:rPr>
          <w:szCs w:val="19"/>
          <w:shd w:val="clear" w:color="auto" w:fill="FFFFFF"/>
        </w:rPr>
        <w:t>spadku</w:t>
      </w:r>
      <w:r w:rsidR="00EF0EFB" w:rsidRPr="00E64644">
        <w:rPr>
          <w:szCs w:val="19"/>
          <w:shd w:val="clear" w:color="auto" w:fill="FFFFFF"/>
        </w:rPr>
        <w:t xml:space="preserve"> w porównaniu z </w:t>
      </w:r>
      <w:r w:rsidR="00A8668F">
        <w:rPr>
          <w:szCs w:val="19"/>
          <w:shd w:val="clear" w:color="auto" w:fill="FFFFFF"/>
        </w:rPr>
        <w:t xml:space="preserve">I kw. </w:t>
      </w:r>
      <w:r w:rsidR="00EF0EFB" w:rsidRPr="00E64644">
        <w:rPr>
          <w:szCs w:val="19"/>
          <w:shd w:val="clear" w:color="auto" w:fill="FFFFFF"/>
        </w:rPr>
        <w:t>201</w:t>
      </w:r>
      <w:r w:rsidR="00A8668F">
        <w:rPr>
          <w:szCs w:val="19"/>
          <w:shd w:val="clear" w:color="auto" w:fill="FFFFFF"/>
        </w:rPr>
        <w:t>7</w:t>
      </w:r>
      <w:r w:rsidR="00EF0EFB" w:rsidRPr="00E64644">
        <w:rPr>
          <w:szCs w:val="19"/>
          <w:shd w:val="clear" w:color="auto" w:fill="FFFFFF"/>
        </w:rPr>
        <w:t xml:space="preserve"> r. o </w:t>
      </w:r>
      <w:r w:rsidR="00190E0D">
        <w:rPr>
          <w:szCs w:val="19"/>
          <w:shd w:val="clear" w:color="auto" w:fill="FFFFFF"/>
        </w:rPr>
        <w:t>21,4</w:t>
      </w:r>
      <w:r w:rsidR="00B9356F" w:rsidRPr="00E64644">
        <w:rPr>
          <w:szCs w:val="19"/>
          <w:shd w:val="clear" w:color="auto" w:fill="FFFFFF"/>
        </w:rPr>
        <w:t>%</w:t>
      </w:r>
      <w:r w:rsidR="00190E0D">
        <w:rPr>
          <w:szCs w:val="19"/>
          <w:shd w:val="clear" w:color="auto" w:fill="FFFFFF"/>
        </w:rPr>
        <w:t xml:space="preserve">. </w:t>
      </w:r>
      <w:r w:rsidR="00B9356F" w:rsidRPr="00E64644">
        <w:rPr>
          <w:color w:val="000000"/>
          <w:szCs w:val="19"/>
        </w:rPr>
        <w:t xml:space="preserve">Ponadto </w:t>
      </w:r>
      <w:r w:rsidR="00A8668F">
        <w:rPr>
          <w:color w:val="000000"/>
          <w:szCs w:val="19"/>
        </w:rPr>
        <w:t xml:space="preserve">w I kwartale </w:t>
      </w:r>
      <w:r w:rsidR="005425C0" w:rsidRPr="00E64644">
        <w:rPr>
          <w:color w:val="000000"/>
          <w:szCs w:val="19"/>
        </w:rPr>
        <w:t>201</w:t>
      </w:r>
      <w:r w:rsidR="00FC3D6D">
        <w:rPr>
          <w:color w:val="000000"/>
          <w:szCs w:val="19"/>
        </w:rPr>
        <w:t>8</w:t>
      </w:r>
      <w:r w:rsidR="005425C0" w:rsidRPr="00E64644">
        <w:rPr>
          <w:color w:val="000000"/>
          <w:szCs w:val="19"/>
        </w:rPr>
        <w:t xml:space="preserve"> r. wydano </w:t>
      </w:r>
      <w:r w:rsidR="00FC3D6D">
        <w:rPr>
          <w:color w:val="000000"/>
          <w:szCs w:val="19"/>
        </w:rPr>
        <w:t xml:space="preserve">10473 </w:t>
      </w:r>
      <w:r w:rsidR="005425C0" w:rsidRPr="00E64644">
        <w:rPr>
          <w:color w:val="000000"/>
          <w:szCs w:val="19"/>
        </w:rPr>
        <w:t xml:space="preserve">pozwoleń na budowę obiektów inżynierii lądowej </w:t>
      </w:r>
      <w:r w:rsidR="00E50E6D">
        <w:rPr>
          <w:color w:val="000000"/>
          <w:szCs w:val="19"/>
        </w:rPr>
        <w:br/>
      </w:r>
      <w:r w:rsidR="005425C0" w:rsidRPr="00E64644">
        <w:rPr>
          <w:color w:val="000000"/>
          <w:szCs w:val="19"/>
        </w:rPr>
        <w:t>i wodnej (wobec</w:t>
      </w:r>
      <w:r w:rsidR="00FC3D6D">
        <w:rPr>
          <w:color w:val="000000"/>
          <w:szCs w:val="19"/>
        </w:rPr>
        <w:t xml:space="preserve"> 10038</w:t>
      </w:r>
      <w:r w:rsidR="005425C0" w:rsidRPr="00E64644">
        <w:rPr>
          <w:color w:val="000000"/>
          <w:szCs w:val="19"/>
        </w:rPr>
        <w:t xml:space="preserve"> w </w:t>
      </w:r>
      <w:r w:rsidR="00A8668F">
        <w:rPr>
          <w:color w:val="000000"/>
          <w:szCs w:val="19"/>
        </w:rPr>
        <w:t xml:space="preserve">I kw. </w:t>
      </w:r>
      <w:r w:rsidR="005425C0" w:rsidRPr="00E64644">
        <w:rPr>
          <w:color w:val="000000"/>
          <w:szCs w:val="19"/>
        </w:rPr>
        <w:t>201</w:t>
      </w:r>
      <w:r w:rsidR="00A8668F">
        <w:rPr>
          <w:color w:val="000000"/>
          <w:szCs w:val="19"/>
        </w:rPr>
        <w:t>7</w:t>
      </w:r>
      <w:r w:rsidR="005425C0" w:rsidRPr="00E64644">
        <w:rPr>
          <w:color w:val="000000"/>
          <w:szCs w:val="19"/>
        </w:rPr>
        <w:t xml:space="preserve"> r.).</w:t>
      </w:r>
    </w:p>
    <w:p w:rsidR="00B9356F" w:rsidRPr="00D13E4D" w:rsidRDefault="00B9356F" w:rsidP="00F11A4E">
      <w:pPr>
        <w:rPr>
          <w:b/>
          <w:szCs w:val="19"/>
          <w:shd w:val="clear" w:color="auto" w:fill="FFFFFF"/>
        </w:rPr>
      </w:pPr>
    </w:p>
    <w:p w:rsidR="00B14936" w:rsidRPr="00D13E4D" w:rsidRDefault="0064104F" w:rsidP="00233DC9">
      <w:pPr>
        <w:ind w:left="851" w:hanging="851"/>
        <w:rPr>
          <w:b/>
          <w:szCs w:val="19"/>
          <w:shd w:val="clear" w:color="auto" w:fill="FFFFFF"/>
        </w:rPr>
      </w:pPr>
      <w:r w:rsidRPr="00D13E4D">
        <w:rPr>
          <w:b/>
          <w:szCs w:val="19"/>
          <w:shd w:val="clear" w:color="auto" w:fill="FFFFFF"/>
        </w:rPr>
        <w:t>Wykres 3. Powierzchnia użytkowa nowych budynków niemieszkalnych, na których budow</w:t>
      </w:r>
      <w:r w:rsidR="005561E8" w:rsidRPr="00D13E4D">
        <w:rPr>
          <w:b/>
          <w:szCs w:val="19"/>
          <w:shd w:val="clear" w:color="auto" w:fill="FFFFFF"/>
        </w:rPr>
        <w:t>ę wydano pozwolenia lub dokonano zgłoszenia z projektem budowlanym</w:t>
      </w:r>
      <w:r w:rsidR="00B92FD4" w:rsidRPr="00D13E4D">
        <w:rPr>
          <w:b/>
          <w:szCs w:val="19"/>
          <w:shd w:val="clear" w:color="auto" w:fill="FFFFFF"/>
        </w:rPr>
        <w:t xml:space="preserve"> według województw</w:t>
      </w:r>
      <w:r w:rsidR="005561E8" w:rsidRPr="00D13E4D">
        <w:rPr>
          <w:b/>
          <w:szCs w:val="19"/>
          <w:shd w:val="clear" w:color="auto" w:fill="FFFFFF"/>
        </w:rPr>
        <w:t>.</w:t>
      </w:r>
      <w:r w:rsidRPr="00D13E4D">
        <w:rPr>
          <w:b/>
          <w:szCs w:val="19"/>
          <w:shd w:val="clear" w:color="auto" w:fill="FFFFFF"/>
        </w:rPr>
        <w:t xml:space="preserve"> </w:t>
      </w:r>
    </w:p>
    <w:p w:rsidR="006D5022" w:rsidRPr="00270FCF" w:rsidRDefault="00660957" w:rsidP="00BD31C8">
      <w:pPr>
        <w:rPr>
          <w:b/>
          <w:shd w:val="clear" w:color="auto" w:fill="FFFFFF"/>
        </w:rPr>
      </w:pPr>
      <w:r>
        <w:pict>
          <v:shape id="Pole tekstowe 16" o:spid="_x0000_s1034" type="#_x0000_t202" style="position:absolute;margin-left:411pt;margin-top:355.55pt;width:135.85pt;height:143.25pt;z-index:-251652096;visibility:visible;mso-wrap-distance-top:3.6pt;mso-wrap-distance-bottom:3.6pt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" filled="f" stroked="f">
            <v:textbox>
              <w:txbxContent>
                <w:p w:rsidR="00DB397E" w:rsidRPr="00D84674" w:rsidRDefault="003D3ADB" w:rsidP="00DB397E">
                  <w:pPr>
                    <w:spacing w:after="0"/>
                    <w:rPr>
                      <w:bCs/>
                      <w:color w:val="002060"/>
                      <w:szCs w:val="19"/>
                      <w:lang w:eastAsia="pl-PL"/>
                    </w:rPr>
                  </w:pPr>
                  <w:r w:rsidRPr="00D84674">
                    <w:rPr>
                      <w:bCs/>
                      <w:color w:val="002060"/>
                      <w:szCs w:val="19"/>
                      <w:lang w:eastAsia="pl-PL"/>
                    </w:rPr>
                    <w:t>Powierzchnia użytkowa nowych budynków niemieszkalnych, na których budowę wydano pozwolenia w</w:t>
                  </w:r>
                  <w:r w:rsidR="005B1E34" w:rsidRPr="00D84674">
                    <w:rPr>
                      <w:bCs/>
                      <w:color w:val="002060"/>
                      <w:szCs w:val="19"/>
                      <w:lang w:eastAsia="pl-PL"/>
                    </w:rPr>
                    <w:t xml:space="preserve"> województwie mazowieckim, wielkopolskim </w:t>
                  </w:r>
                  <w:r w:rsidR="000B6E1A" w:rsidRPr="00D84674">
                    <w:rPr>
                      <w:bCs/>
                      <w:color w:val="002060"/>
                      <w:szCs w:val="19"/>
                      <w:lang w:eastAsia="pl-PL"/>
                    </w:rPr>
                    <w:br/>
                  </w:r>
                  <w:r w:rsidR="005B1E34" w:rsidRPr="00D84674">
                    <w:rPr>
                      <w:bCs/>
                      <w:color w:val="002060"/>
                      <w:szCs w:val="19"/>
                      <w:lang w:eastAsia="pl-PL"/>
                    </w:rPr>
                    <w:t>i zachodniopomorskim stanowiła blisko 47% ogółu</w:t>
                  </w:r>
                  <w:r w:rsidR="00F76881" w:rsidRPr="00D84674">
                    <w:rPr>
                      <w:bCs/>
                      <w:color w:val="002060"/>
                      <w:szCs w:val="19"/>
                      <w:lang w:eastAsia="pl-PL"/>
                    </w:rPr>
                    <w:t xml:space="preserve"> planowanej do wybudowania powierzchni</w:t>
                  </w:r>
                  <w:r w:rsidR="005B1E34" w:rsidRPr="00D84674">
                    <w:rPr>
                      <w:bCs/>
                      <w:color w:val="002060"/>
                      <w:szCs w:val="19"/>
                      <w:lang w:eastAsia="pl-PL"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  <w:r w:rsidR="001B2192" w:rsidRPr="001B2192">
        <w:rPr>
          <w:noProof/>
          <w:lang w:eastAsia="pl-PL"/>
        </w:rPr>
        <w:drawing>
          <wp:anchor distT="0" distB="0" distL="114300" distR="114300" simplePos="0" relativeHeight="251665920" behindDoc="0" locked="0" layoutInCell="1" allowOverlap="1" wp14:anchorId="027A9F8F" wp14:editId="5D54E161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5122545" cy="4191635"/>
            <wp:effectExtent l="0" t="0" r="190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419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F34" w:rsidRPr="00DD11D3" w:rsidRDefault="008B2F34" w:rsidP="00A20F36">
      <w:pPr>
        <w:rPr>
          <w:color w:val="000000"/>
          <w:szCs w:val="19"/>
        </w:rPr>
      </w:pPr>
      <w:r w:rsidRPr="00DD11D3">
        <w:rPr>
          <w:szCs w:val="19"/>
          <w:shd w:val="clear" w:color="auto" w:fill="FFFFFF"/>
        </w:rPr>
        <w:t xml:space="preserve">Największe zainteresowanie </w:t>
      </w:r>
      <w:r w:rsidR="00155438">
        <w:rPr>
          <w:szCs w:val="19"/>
          <w:shd w:val="clear" w:color="auto" w:fill="FFFFFF"/>
        </w:rPr>
        <w:t xml:space="preserve">uzyskaniem </w:t>
      </w:r>
      <w:r w:rsidR="00313891" w:rsidRPr="00DD11D3">
        <w:rPr>
          <w:szCs w:val="19"/>
          <w:shd w:val="clear" w:color="auto" w:fill="FFFFFF"/>
        </w:rPr>
        <w:t>pozwolenia</w:t>
      </w:r>
      <w:r w:rsidR="00180E85">
        <w:rPr>
          <w:szCs w:val="19"/>
          <w:shd w:val="clear" w:color="auto" w:fill="FFFFFF"/>
        </w:rPr>
        <w:t xml:space="preserve"> </w:t>
      </w:r>
      <w:r w:rsidR="00313891" w:rsidRPr="00DD11D3">
        <w:rPr>
          <w:szCs w:val="19"/>
          <w:shd w:val="clear" w:color="auto" w:fill="FFFFFF"/>
        </w:rPr>
        <w:t>na budowę budynków niemieszk</w:t>
      </w:r>
      <w:r w:rsidR="0003121F" w:rsidRPr="00DD11D3">
        <w:rPr>
          <w:szCs w:val="19"/>
          <w:shd w:val="clear" w:color="auto" w:fill="FFFFFF"/>
        </w:rPr>
        <w:t>alnych</w:t>
      </w:r>
      <w:r w:rsidR="00313891" w:rsidRPr="00DD11D3">
        <w:rPr>
          <w:szCs w:val="19"/>
          <w:shd w:val="clear" w:color="auto" w:fill="FFFFFF"/>
        </w:rPr>
        <w:t xml:space="preserve"> </w:t>
      </w:r>
      <w:r w:rsidRPr="00DD11D3">
        <w:rPr>
          <w:szCs w:val="19"/>
          <w:shd w:val="clear" w:color="auto" w:fill="FFFFFF"/>
        </w:rPr>
        <w:t xml:space="preserve">wykazali inwestorzy na terenie województwa mazowieckiego, wielkopolskiego i </w:t>
      </w:r>
      <w:r w:rsidR="00BE7B58">
        <w:rPr>
          <w:szCs w:val="19"/>
          <w:shd w:val="clear" w:color="auto" w:fill="FFFFFF"/>
        </w:rPr>
        <w:t>zachodniopomorskiego</w:t>
      </w:r>
      <w:r w:rsidRPr="00DD11D3">
        <w:rPr>
          <w:szCs w:val="19"/>
          <w:shd w:val="clear" w:color="auto" w:fill="FFFFFF"/>
        </w:rPr>
        <w:t xml:space="preserve">, gdzie łącznie </w:t>
      </w:r>
      <w:r w:rsidR="00313891" w:rsidRPr="00DD11D3">
        <w:rPr>
          <w:szCs w:val="19"/>
          <w:shd w:val="clear" w:color="auto" w:fill="FFFFFF"/>
        </w:rPr>
        <w:t xml:space="preserve">w </w:t>
      </w:r>
      <w:r w:rsidR="00B935E9">
        <w:rPr>
          <w:szCs w:val="19"/>
          <w:shd w:val="clear" w:color="auto" w:fill="FFFFFF"/>
        </w:rPr>
        <w:t>I kw.</w:t>
      </w:r>
      <w:r w:rsidR="007B19CF">
        <w:rPr>
          <w:szCs w:val="19"/>
          <w:shd w:val="clear" w:color="auto" w:fill="FFFFFF"/>
        </w:rPr>
        <w:t xml:space="preserve"> 2018 </w:t>
      </w:r>
      <w:r w:rsidR="00313891" w:rsidRPr="00DD11D3">
        <w:rPr>
          <w:szCs w:val="19"/>
          <w:shd w:val="clear" w:color="auto" w:fill="FFFFFF"/>
        </w:rPr>
        <w:t xml:space="preserve">r. </w:t>
      </w:r>
      <w:r w:rsidRPr="00DD11D3">
        <w:rPr>
          <w:szCs w:val="19"/>
          <w:shd w:val="clear" w:color="auto" w:fill="FFFFFF"/>
        </w:rPr>
        <w:t xml:space="preserve">wydano pozwolenia na budowę </w:t>
      </w:r>
      <w:r w:rsidR="00434773">
        <w:rPr>
          <w:szCs w:val="19"/>
          <w:shd w:val="clear" w:color="auto" w:fill="FFFFFF"/>
        </w:rPr>
        <w:t>46,8</w:t>
      </w:r>
      <w:r w:rsidRPr="00DD11D3">
        <w:rPr>
          <w:szCs w:val="19"/>
          <w:shd w:val="clear" w:color="auto" w:fill="FFFFFF"/>
        </w:rPr>
        <w:t xml:space="preserve">% ogółu powierzchni użytkowej mającej powstać na terenie kraju. </w:t>
      </w:r>
      <w:r w:rsidR="000039D0">
        <w:rPr>
          <w:szCs w:val="19"/>
          <w:shd w:val="clear" w:color="auto" w:fill="FFFFFF"/>
        </w:rPr>
        <w:t>Spośród nich największy</w:t>
      </w:r>
      <w:r w:rsidR="00313891" w:rsidRPr="00DD11D3">
        <w:rPr>
          <w:szCs w:val="19"/>
          <w:shd w:val="clear" w:color="auto" w:fill="FFFFFF"/>
        </w:rPr>
        <w:t xml:space="preserve"> wzrost popytu na nowobudowaną powierzchnię użytkową</w:t>
      </w:r>
      <w:r w:rsidR="00180E85" w:rsidRPr="00180E85">
        <w:rPr>
          <w:szCs w:val="19"/>
          <w:shd w:val="clear" w:color="auto" w:fill="FFFFFF"/>
        </w:rPr>
        <w:t xml:space="preserve"> </w:t>
      </w:r>
      <w:r w:rsidR="00180E85" w:rsidRPr="00DD11D3">
        <w:rPr>
          <w:szCs w:val="19"/>
          <w:shd w:val="clear" w:color="auto" w:fill="FFFFFF"/>
        </w:rPr>
        <w:t>odnotowano</w:t>
      </w:r>
      <w:r w:rsidR="00180E85">
        <w:rPr>
          <w:szCs w:val="19"/>
          <w:shd w:val="clear" w:color="auto" w:fill="FFFFFF"/>
        </w:rPr>
        <w:t xml:space="preserve">, </w:t>
      </w:r>
      <w:r w:rsidR="00180E85" w:rsidRPr="00DD11D3">
        <w:rPr>
          <w:szCs w:val="19"/>
          <w:shd w:val="clear" w:color="auto" w:fill="FFFFFF"/>
        </w:rPr>
        <w:t xml:space="preserve">w porównaniu z </w:t>
      </w:r>
      <w:r w:rsidR="00180E85">
        <w:rPr>
          <w:szCs w:val="19"/>
          <w:shd w:val="clear" w:color="auto" w:fill="FFFFFF"/>
        </w:rPr>
        <w:t xml:space="preserve">analogicznym okresem poprzedniego </w:t>
      </w:r>
      <w:r w:rsidR="00180E85" w:rsidRPr="00DD11D3">
        <w:rPr>
          <w:szCs w:val="19"/>
          <w:shd w:val="clear" w:color="auto" w:fill="FFFFFF"/>
        </w:rPr>
        <w:t>r</w:t>
      </w:r>
      <w:r w:rsidR="00180E85">
        <w:rPr>
          <w:szCs w:val="19"/>
          <w:shd w:val="clear" w:color="auto" w:fill="FFFFFF"/>
        </w:rPr>
        <w:t>oku</w:t>
      </w:r>
      <w:r w:rsidR="006820D0">
        <w:rPr>
          <w:szCs w:val="19"/>
          <w:shd w:val="clear" w:color="auto" w:fill="FFFFFF"/>
        </w:rPr>
        <w:t>,</w:t>
      </w:r>
      <w:r w:rsidR="00313891" w:rsidRPr="00DD11D3">
        <w:rPr>
          <w:szCs w:val="19"/>
          <w:shd w:val="clear" w:color="auto" w:fill="FFFFFF"/>
        </w:rPr>
        <w:t xml:space="preserve"> w województwie </w:t>
      </w:r>
      <w:r w:rsidR="000039D0">
        <w:rPr>
          <w:szCs w:val="19"/>
          <w:shd w:val="clear" w:color="auto" w:fill="FFFFFF"/>
        </w:rPr>
        <w:t>zachodniopomorskim</w:t>
      </w:r>
      <w:r w:rsidR="00313891" w:rsidRPr="00DD11D3">
        <w:rPr>
          <w:szCs w:val="19"/>
          <w:shd w:val="clear" w:color="auto" w:fill="FFFFFF"/>
        </w:rPr>
        <w:t xml:space="preserve"> – o </w:t>
      </w:r>
      <w:r w:rsidR="0097328B">
        <w:rPr>
          <w:szCs w:val="19"/>
          <w:shd w:val="clear" w:color="auto" w:fill="FFFFFF"/>
        </w:rPr>
        <w:t>106,5</w:t>
      </w:r>
      <w:r w:rsidR="00313891" w:rsidRPr="00DD11D3">
        <w:rPr>
          <w:szCs w:val="19"/>
          <w:shd w:val="clear" w:color="auto" w:fill="FFFFFF"/>
        </w:rPr>
        <w:t>%, w województwie wielkopolskim</w:t>
      </w:r>
      <w:r w:rsidR="00180E85">
        <w:rPr>
          <w:szCs w:val="19"/>
          <w:shd w:val="clear" w:color="auto" w:fill="FFFFFF"/>
        </w:rPr>
        <w:t xml:space="preserve"> </w:t>
      </w:r>
      <w:r w:rsidR="00180E85" w:rsidRPr="00E64644">
        <w:rPr>
          <w:szCs w:val="19"/>
          <w:shd w:val="clear" w:color="auto" w:fill="FFFFFF"/>
        </w:rPr>
        <w:t>–</w:t>
      </w:r>
      <w:r w:rsidR="00313891" w:rsidRPr="00DD11D3">
        <w:rPr>
          <w:szCs w:val="19"/>
          <w:shd w:val="clear" w:color="auto" w:fill="FFFFFF"/>
        </w:rPr>
        <w:t xml:space="preserve"> o</w:t>
      </w:r>
      <w:r w:rsidR="00F64547" w:rsidRPr="00DD11D3">
        <w:rPr>
          <w:szCs w:val="19"/>
          <w:shd w:val="clear" w:color="auto" w:fill="FFFFFF"/>
        </w:rPr>
        <w:t xml:space="preserve"> </w:t>
      </w:r>
      <w:r w:rsidR="0097328B">
        <w:rPr>
          <w:szCs w:val="19"/>
          <w:shd w:val="clear" w:color="auto" w:fill="FFFFFF"/>
        </w:rPr>
        <w:t>53,0</w:t>
      </w:r>
      <w:r w:rsidR="00313891" w:rsidRPr="00DD11D3">
        <w:rPr>
          <w:szCs w:val="19"/>
          <w:shd w:val="clear" w:color="auto" w:fill="FFFFFF"/>
        </w:rPr>
        <w:t>%</w:t>
      </w:r>
      <w:r w:rsidR="0097328B">
        <w:rPr>
          <w:szCs w:val="19"/>
          <w:shd w:val="clear" w:color="auto" w:fill="FFFFFF"/>
        </w:rPr>
        <w:t xml:space="preserve">, a </w:t>
      </w:r>
      <w:r w:rsidR="0097328B" w:rsidRPr="00DD11D3">
        <w:rPr>
          <w:szCs w:val="19"/>
          <w:shd w:val="clear" w:color="auto" w:fill="FFFFFF"/>
        </w:rPr>
        <w:t xml:space="preserve">mazowieckim </w:t>
      </w:r>
      <w:r w:rsidR="00180E85" w:rsidRPr="00E64644">
        <w:rPr>
          <w:szCs w:val="19"/>
          <w:shd w:val="clear" w:color="auto" w:fill="FFFFFF"/>
        </w:rPr>
        <w:t>–</w:t>
      </w:r>
      <w:r w:rsidR="00180E85">
        <w:rPr>
          <w:szCs w:val="19"/>
          <w:shd w:val="clear" w:color="auto" w:fill="FFFFFF"/>
        </w:rPr>
        <w:t xml:space="preserve"> </w:t>
      </w:r>
      <w:r w:rsidR="0097328B" w:rsidRPr="00DD11D3">
        <w:rPr>
          <w:szCs w:val="19"/>
          <w:shd w:val="clear" w:color="auto" w:fill="FFFFFF"/>
        </w:rPr>
        <w:t xml:space="preserve">o </w:t>
      </w:r>
      <w:r w:rsidR="0097328B">
        <w:rPr>
          <w:szCs w:val="19"/>
          <w:shd w:val="clear" w:color="auto" w:fill="FFFFFF"/>
        </w:rPr>
        <w:t>23,4%</w:t>
      </w:r>
      <w:r w:rsidR="00313891" w:rsidRPr="00DD11D3">
        <w:rPr>
          <w:szCs w:val="19"/>
          <w:shd w:val="clear" w:color="auto" w:fill="FFFFFF"/>
        </w:rPr>
        <w:t xml:space="preserve">. </w:t>
      </w:r>
      <w:r w:rsidRPr="00DD11D3">
        <w:rPr>
          <w:szCs w:val="19"/>
          <w:shd w:val="clear" w:color="auto" w:fill="FFFFFF"/>
        </w:rPr>
        <w:t>Na terenie województwa mazowieckiego wydane pozwolenia na budowę dotyczyły</w:t>
      </w:r>
      <w:r w:rsidR="00B92FD4" w:rsidRPr="00DD11D3">
        <w:rPr>
          <w:szCs w:val="19"/>
          <w:shd w:val="clear" w:color="auto" w:fill="FFFFFF"/>
        </w:rPr>
        <w:t xml:space="preserve"> budowy</w:t>
      </w:r>
      <w:r w:rsidRPr="00DD11D3">
        <w:rPr>
          <w:szCs w:val="19"/>
          <w:shd w:val="clear" w:color="auto" w:fill="FFFFFF"/>
        </w:rPr>
        <w:t xml:space="preserve"> powierzchni użytkowej gł</w:t>
      </w:r>
      <w:r w:rsidR="0003121F" w:rsidRPr="00DD11D3">
        <w:rPr>
          <w:szCs w:val="19"/>
          <w:shd w:val="clear" w:color="auto" w:fill="FFFFFF"/>
        </w:rPr>
        <w:t>ó</w:t>
      </w:r>
      <w:r w:rsidRPr="00DD11D3">
        <w:rPr>
          <w:szCs w:val="19"/>
          <w:shd w:val="clear" w:color="auto" w:fill="FFFFFF"/>
        </w:rPr>
        <w:t>wnie</w:t>
      </w:r>
      <w:r w:rsidR="00BE7B58">
        <w:rPr>
          <w:szCs w:val="19"/>
          <w:shd w:val="clear" w:color="auto" w:fill="FFFFFF"/>
        </w:rPr>
        <w:t xml:space="preserve"> </w:t>
      </w:r>
      <w:r w:rsidR="00BE7B58" w:rsidRPr="00DD11D3">
        <w:rPr>
          <w:szCs w:val="19"/>
          <w:shd w:val="clear" w:color="auto" w:fill="FFFFFF"/>
        </w:rPr>
        <w:t>budynków przemysłowych i magazynowych (</w:t>
      </w:r>
      <w:r w:rsidR="00BE7B58">
        <w:rPr>
          <w:szCs w:val="19"/>
          <w:shd w:val="clear" w:color="auto" w:fill="FFFFFF"/>
        </w:rPr>
        <w:t>31,3</w:t>
      </w:r>
      <w:r w:rsidR="00BE7B58" w:rsidRPr="00DD11D3">
        <w:rPr>
          <w:szCs w:val="19"/>
          <w:shd w:val="clear" w:color="auto" w:fill="FFFFFF"/>
        </w:rPr>
        <w:t xml:space="preserve">%); </w:t>
      </w:r>
      <w:r w:rsidRPr="00DD11D3">
        <w:rPr>
          <w:szCs w:val="19"/>
          <w:shd w:val="clear" w:color="auto" w:fill="FFFFFF"/>
        </w:rPr>
        <w:t>pozostałych budynków niemieszkalnych (</w:t>
      </w:r>
      <w:r w:rsidR="00BE7B58">
        <w:rPr>
          <w:szCs w:val="19"/>
          <w:shd w:val="clear" w:color="auto" w:fill="FFFFFF"/>
        </w:rPr>
        <w:t>30,3</w:t>
      </w:r>
      <w:r w:rsidRPr="00DD11D3">
        <w:rPr>
          <w:szCs w:val="19"/>
          <w:shd w:val="clear" w:color="auto" w:fill="FFFFFF"/>
        </w:rPr>
        <w:t>%)</w:t>
      </w:r>
      <w:r w:rsidR="008A29D6" w:rsidRPr="00DD11D3">
        <w:rPr>
          <w:szCs w:val="19"/>
          <w:shd w:val="clear" w:color="auto" w:fill="FFFFFF"/>
        </w:rPr>
        <w:t>;</w:t>
      </w:r>
      <w:r w:rsidR="00BE7B58">
        <w:rPr>
          <w:szCs w:val="19"/>
          <w:shd w:val="clear" w:color="auto" w:fill="FFFFFF"/>
        </w:rPr>
        <w:t xml:space="preserve"> </w:t>
      </w:r>
      <w:r w:rsidRPr="00DD11D3">
        <w:rPr>
          <w:szCs w:val="19"/>
          <w:shd w:val="clear" w:color="auto" w:fill="FFFFFF"/>
        </w:rPr>
        <w:t>handlowo-usługowych (</w:t>
      </w:r>
      <w:r w:rsidR="00BE7B58">
        <w:rPr>
          <w:szCs w:val="19"/>
          <w:shd w:val="clear" w:color="auto" w:fill="FFFFFF"/>
        </w:rPr>
        <w:t>15,9</w:t>
      </w:r>
      <w:r w:rsidRPr="00DD11D3">
        <w:rPr>
          <w:szCs w:val="19"/>
          <w:shd w:val="clear" w:color="auto" w:fill="FFFFFF"/>
        </w:rPr>
        <w:t>%)</w:t>
      </w:r>
      <w:r w:rsidR="00BE7B58">
        <w:rPr>
          <w:szCs w:val="19"/>
          <w:shd w:val="clear" w:color="auto" w:fill="FFFFFF"/>
        </w:rPr>
        <w:t>;</w:t>
      </w:r>
      <w:r w:rsidRPr="00DD11D3">
        <w:rPr>
          <w:szCs w:val="19"/>
          <w:shd w:val="clear" w:color="auto" w:fill="FFFFFF"/>
        </w:rPr>
        <w:t xml:space="preserve"> biurowych (</w:t>
      </w:r>
      <w:r w:rsidR="00BE7B58">
        <w:rPr>
          <w:szCs w:val="19"/>
          <w:shd w:val="clear" w:color="auto" w:fill="FFFFFF"/>
        </w:rPr>
        <w:t>9,0</w:t>
      </w:r>
      <w:r w:rsidRPr="00DD11D3">
        <w:rPr>
          <w:szCs w:val="19"/>
          <w:shd w:val="clear" w:color="auto" w:fill="FFFFFF"/>
        </w:rPr>
        <w:t>%)</w:t>
      </w:r>
      <w:r w:rsidR="00BE7B58">
        <w:rPr>
          <w:szCs w:val="19"/>
          <w:shd w:val="clear" w:color="auto" w:fill="FFFFFF"/>
        </w:rPr>
        <w:t xml:space="preserve"> </w:t>
      </w:r>
      <w:r w:rsidR="002E3888">
        <w:rPr>
          <w:szCs w:val="19"/>
          <w:shd w:val="clear" w:color="auto" w:fill="FFFFFF"/>
        </w:rPr>
        <w:t>oraz</w:t>
      </w:r>
      <w:r w:rsidR="00BE7B58">
        <w:rPr>
          <w:szCs w:val="19"/>
          <w:shd w:val="clear" w:color="auto" w:fill="FFFFFF"/>
        </w:rPr>
        <w:t xml:space="preserve"> hoteli i budynków zakwaterowania turystycznego (8,6%)</w:t>
      </w:r>
      <w:r w:rsidR="00B92FD4" w:rsidRPr="00DD11D3">
        <w:rPr>
          <w:szCs w:val="19"/>
          <w:shd w:val="clear" w:color="auto" w:fill="FFFFFF"/>
        </w:rPr>
        <w:t>. W</w:t>
      </w:r>
      <w:r w:rsidRPr="00DD11D3">
        <w:rPr>
          <w:szCs w:val="19"/>
          <w:shd w:val="clear" w:color="auto" w:fill="FFFFFF"/>
        </w:rPr>
        <w:t xml:space="preserve"> województw</w:t>
      </w:r>
      <w:r w:rsidR="00B92FD4" w:rsidRPr="00DD11D3">
        <w:rPr>
          <w:szCs w:val="19"/>
          <w:shd w:val="clear" w:color="auto" w:fill="FFFFFF"/>
        </w:rPr>
        <w:t>ie</w:t>
      </w:r>
      <w:r w:rsidRPr="00DD11D3">
        <w:rPr>
          <w:szCs w:val="19"/>
          <w:shd w:val="clear" w:color="auto" w:fill="FFFFFF"/>
        </w:rPr>
        <w:t xml:space="preserve"> wielkopolski</w:t>
      </w:r>
      <w:r w:rsidR="00B92FD4" w:rsidRPr="00DD11D3">
        <w:rPr>
          <w:szCs w:val="19"/>
          <w:shd w:val="clear" w:color="auto" w:fill="FFFFFF"/>
        </w:rPr>
        <w:t>m</w:t>
      </w:r>
      <w:r w:rsidRPr="00DD11D3">
        <w:rPr>
          <w:szCs w:val="19"/>
          <w:shd w:val="clear" w:color="auto" w:fill="FFFFFF"/>
        </w:rPr>
        <w:t xml:space="preserve"> także </w:t>
      </w:r>
      <w:r w:rsidR="00B92FD4" w:rsidRPr="00DD11D3">
        <w:rPr>
          <w:szCs w:val="19"/>
          <w:shd w:val="clear" w:color="auto" w:fill="FFFFFF"/>
        </w:rPr>
        <w:t>przeważała powierzchnia</w:t>
      </w:r>
      <w:r w:rsidR="00434773">
        <w:rPr>
          <w:szCs w:val="19"/>
          <w:shd w:val="clear" w:color="auto" w:fill="FFFFFF"/>
        </w:rPr>
        <w:t xml:space="preserve"> budynków</w:t>
      </w:r>
      <w:r w:rsidR="00434773" w:rsidRPr="00434773">
        <w:rPr>
          <w:szCs w:val="19"/>
          <w:shd w:val="clear" w:color="auto" w:fill="FFFFFF"/>
        </w:rPr>
        <w:t xml:space="preserve"> </w:t>
      </w:r>
      <w:r w:rsidR="00434773" w:rsidRPr="00DD11D3">
        <w:rPr>
          <w:szCs w:val="19"/>
          <w:shd w:val="clear" w:color="auto" w:fill="FFFFFF"/>
        </w:rPr>
        <w:t>przemysłowych i magazynowych (</w:t>
      </w:r>
      <w:r w:rsidR="00434773">
        <w:rPr>
          <w:szCs w:val="19"/>
          <w:shd w:val="clear" w:color="auto" w:fill="FFFFFF"/>
        </w:rPr>
        <w:t>61,9</w:t>
      </w:r>
      <w:r w:rsidR="00434773" w:rsidRPr="00DD11D3">
        <w:rPr>
          <w:szCs w:val="19"/>
          <w:shd w:val="clear" w:color="auto" w:fill="FFFFFF"/>
        </w:rPr>
        <w:t>%)</w:t>
      </w:r>
      <w:r w:rsidR="00434773">
        <w:rPr>
          <w:szCs w:val="19"/>
          <w:shd w:val="clear" w:color="auto" w:fill="FFFFFF"/>
        </w:rPr>
        <w:t xml:space="preserve"> oraz</w:t>
      </w:r>
      <w:r w:rsidR="00B92FD4" w:rsidRPr="00DD11D3">
        <w:rPr>
          <w:szCs w:val="19"/>
          <w:shd w:val="clear" w:color="auto" w:fill="FFFFFF"/>
        </w:rPr>
        <w:t xml:space="preserve"> </w:t>
      </w:r>
      <w:r w:rsidRPr="00DD11D3">
        <w:rPr>
          <w:szCs w:val="19"/>
          <w:shd w:val="clear" w:color="auto" w:fill="FFFFFF"/>
        </w:rPr>
        <w:t>pozostałych budynków niemieszkalnych (</w:t>
      </w:r>
      <w:r w:rsidR="00434773">
        <w:rPr>
          <w:szCs w:val="19"/>
          <w:shd w:val="clear" w:color="auto" w:fill="FFFFFF"/>
        </w:rPr>
        <w:t>27,2</w:t>
      </w:r>
      <w:r w:rsidRPr="00DD11D3">
        <w:rPr>
          <w:szCs w:val="19"/>
          <w:shd w:val="clear" w:color="auto" w:fill="FFFFFF"/>
        </w:rPr>
        <w:t>%)</w:t>
      </w:r>
      <w:r w:rsidR="00434773">
        <w:rPr>
          <w:szCs w:val="19"/>
          <w:shd w:val="clear" w:color="auto" w:fill="FFFFFF"/>
        </w:rPr>
        <w:t xml:space="preserve">, </w:t>
      </w:r>
      <w:r w:rsidRPr="00DD11D3">
        <w:rPr>
          <w:szCs w:val="19"/>
          <w:shd w:val="clear" w:color="auto" w:fill="FFFFFF"/>
        </w:rPr>
        <w:t xml:space="preserve">a na terenie województwa </w:t>
      </w:r>
      <w:r w:rsidR="00434773">
        <w:rPr>
          <w:szCs w:val="19"/>
          <w:shd w:val="clear" w:color="auto" w:fill="FFFFFF"/>
        </w:rPr>
        <w:t xml:space="preserve">zachodniopomorskiego </w:t>
      </w:r>
      <w:r w:rsidRPr="00DD11D3">
        <w:rPr>
          <w:szCs w:val="19"/>
          <w:shd w:val="clear" w:color="auto" w:fill="FFFFFF"/>
        </w:rPr>
        <w:t xml:space="preserve">– </w:t>
      </w:r>
      <w:r w:rsidR="00434773">
        <w:rPr>
          <w:szCs w:val="19"/>
          <w:shd w:val="clear" w:color="auto" w:fill="FFFFFF"/>
        </w:rPr>
        <w:t xml:space="preserve">hoteli i budynków zakwaterowania turystycznego (49,9%), </w:t>
      </w:r>
      <w:r w:rsidRPr="00DD11D3">
        <w:rPr>
          <w:szCs w:val="19"/>
          <w:shd w:val="clear" w:color="auto" w:fill="FFFFFF"/>
        </w:rPr>
        <w:t>budynków prze</w:t>
      </w:r>
      <w:r w:rsidR="00B92FD4" w:rsidRPr="00DD11D3">
        <w:rPr>
          <w:szCs w:val="19"/>
          <w:shd w:val="clear" w:color="auto" w:fill="FFFFFF"/>
        </w:rPr>
        <w:t>mysłowych i magazynowych (</w:t>
      </w:r>
      <w:r w:rsidR="00434773">
        <w:rPr>
          <w:szCs w:val="19"/>
          <w:shd w:val="clear" w:color="auto" w:fill="FFFFFF"/>
        </w:rPr>
        <w:t>31,1</w:t>
      </w:r>
      <w:r w:rsidRPr="00DD11D3">
        <w:rPr>
          <w:szCs w:val="19"/>
          <w:shd w:val="clear" w:color="auto" w:fill="FFFFFF"/>
        </w:rPr>
        <w:t>%)</w:t>
      </w:r>
      <w:r w:rsidR="00434773">
        <w:rPr>
          <w:szCs w:val="19"/>
          <w:shd w:val="clear" w:color="auto" w:fill="FFFFFF"/>
        </w:rPr>
        <w:t xml:space="preserve"> oraz</w:t>
      </w:r>
      <w:r w:rsidRPr="00DD11D3">
        <w:rPr>
          <w:szCs w:val="19"/>
          <w:shd w:val="clear" w:color="auto" w:fill="FFFFFF"/>
        </w:rPr>
        <w:t xml:space="preserve"> o</w:t>
      </w:r>
      <w:r w:rsidRPr="00DD11D3">
        <w:rPr>
          <w:color w:val="000000"/>
          <w:szCs w:val="19"/>
        </w:rPr>
        <w:t>gólnodostępnych obiektów kulturalnych, budynków o charakterze edukacyjnym</w:t>
      </w:r>
      <w:r w:rsidR="00655F4D" w:rsidRPr="00DD11D3">
        <w:rPr>
          <w:color w:val="000000"/>
          <w:szCs w:val="19"/>
        </w:rPr>
        <w:t>,</w:t>
      </w:r>
      <w:r w:rsidR="00434773">
        <w:rPr>
          <w:szCs w:val="19"/>
        </w:rPr>
        <w:t xml:space="preserve"> szpitali</w:t>
      </w:r>
      <w:r w:rsidR="00655F4D" w:rsidRPr="00DD11D3">
        <w:rPr>
          <w:szCs w:val="19"/>
        </w:rPr>
        <w:t xml:space="preserve"> i zakładów opieki medycznej oraz kultury fizycznej</w:t>
      </w:r>
      <w:r w:rsidRPr="00DD11D3">
        <w:rPr>
          <w:color w:val="000000"/>
          <w:szCs w:val="19"/>
        </w:rPr>
        <w:t xml:space="preserve"> (</w:t>
      </w:r>
      <w:r w:rsidR="00434773">
        <w:rPr>
          <w:color w:val="000000"/>
          <w:szCs w:val="19"/>
        </w:rPr>
        <w:t>10,7</w:t>
      </w:r>
      <w:r w:rsidRPr="00DD11D3">
        <w:rPr>
          <w:color w:val="000000"/>
          <w:szCs w:val="19"/>
        </w:rPr>
        <w:t>%).</w:t>
      </w:r>
    </w:p>
    <w:p w:rsidR="0064104F" w:rsidRPr="00001C5B" w:rsidRDefault="0064104F" w:rsidP="00E76D26">
      <w:pPr>
        <w:rPr>
          <w:sz w:val="18"/>
        </w:rPr>
        <w:sectPr w:rsidR="0064104F" w:rsidRPr="00001C5B" w:rsidSect="00853635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720" w:left="720" w:header="284" w:footer="397" w:gutter="0"/>
          <w:pgNumType w:start="1"/>
          <w:cols w:space="708"/>
          <w:titlePg/>
          <w:docGrid w:linePitch="360"/>
        </w:sectPr>
      </w:pPr>
    </w:p>
    <w:p w:rsidR="0064104F" w:rsidRDefault="0064104F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0A0" w:firstRow="1" w:lastRow="0" w:firstColumn="1" w:lastColumn="0" w:noHBand="0" w:noVBand="0"/>
      </w:tblPr>
      <w:tblGrid>
        <w:gridCol w:w="4359"/>
        <w:gridCol w:w="3924"/>
      </w:tblGrid>
      <w:tr w:rsidR="0064104F" w:rsidRPr="002F348B" w:rsidTr="00E23337">
        <w:trPr>
          <w:trHeight w:val="1912"/>
        </w:trPr>
        <w:tc>
          <w:tcPr>
            <w:tcW w:w="4379" w:type="dxa"/>
          </w:tcPr>
          <w:p w:rsidR="0064104F" w:rsidRPr="0050555C" w:rsidRDefault="0064104F" w:rsidP="00E23337">
            <w:pPr>
              <w:spacing w:before="0" w:after="0" w:line="276" w:lineRule="auto"/>
              <w:rPr>
                <w:rFonts w:cs="Arial"/>
                <w:color w:val="000000"/>
                <w:sz w:val="20"/>
              </w:rPr>
            </w:pPr>
            <w:r w:rsidRPr="0050555C">
              <w:rPr>
                <w:rFonts w:cs="Arial"/>
                <w:color w:val="000000"/>
                <w:sz w:val="20"/>
              </w:rPr>
              <w:t>Opracowanie merytoryczne:</w:t>
            </w:r>
          </w:p>
          <w:p w:rsidR="0064104F" w:rsidRPr="0050555C" w:rsidRDefault="0064104F" w:rsidP="00D00796">
            <w:pPr>
              <w:spacing w:before="0" w:after="0" w:line="240" w:lineRule="auto"/>
              <w:rPr>
                <w:rFonts w:cs="Arial"/>
                <w:b/>
                <w:color w:val="000000"/>
                <w:sz w:val="20"/>
              </w:rPr>
            </w:pPr>
            <w:r w:rsidRPr="0050555C">
              <w:rPr>
                <w:rFonts w:cs="Arial"/>
                <w:b/>
                <w:color w:val="000000"/>
                <w:sz w:val="20"/>
              </w:rPr>
              <w:t>Departament Produkcji</w:t>
            </w:r>
          </w:p>
          <w:p w:rsidR="0064104F" w:rsidRPr="00ED7F24" w:rsidRDefault="0064104F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</w:pPr>
            <w:r w:rsidRPr="00ED7F24"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  <w:t>Janusz Kobylarz</w:t>
            </w:r>
          </w:p>
          <w:p w:rsidR="0064104F" w:rsidRPr="00ED7F24" w:rsidRDefault="0064104F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 w:eastAsia="en-US"/>
              </w:rPr>
            </w:pPr>
            <w:r w:rsidRPr="00ED7F24">
              <w:rPr>
                <w:rFonts w:ascii="Fira Sans" w:hAnsi="Fira Sans" w:cs="Arial"/>
                <w:color w:val="000000"/>
                <w:sz w:val="20"/>
                <w:lang w:val="fi-FI" w:eastAsia="en-US"/>
              </w:rPr>
              <w:t>Tel: 22 6083767</w:t>
            </w:r>
          </w:p>
          <w:p w:rsidR="0064104F" w:rsidRPr="00ED7F24" w:rsidRDefault="0064104F" w:rsidP="009301B3">
            <w:pPr>
              <w:pStyle w:val="Nagwek3"/>
              <w:spacing w:before="0" w:line="240" w:lineRule="auto"/>
              <w:rPr>
                <w:rFonts w:ascii="Fira Sans" w:hAnsi="Fira Sans"/>
                <w:color w:val="000000"/>
                <w:lang w:val="fi-FI" w:eastAsia="en-US"/>
              </w:rPr>
            </w:pPr>
            <w:r w:rsidRPr="00ED7F24">
              <w:rPr>
                <w:rFonts w:ascii="Fira Sans" w:hAnsi="Fira Sans" w:cs="Arial"/>
                <w:b/>
                <w:color w:val="000000"/>
                <w:sz w:val="20"/>
                <w:szCs w:val="20"/>
                <w:lang w:val="en-US" w:eastAsia="en-US"/>
              </w:rPr>
              <w:t xml:space="preserve">e-mail: </w:t>
            </w:r>
            <w:hyperlink r:id="rId18" w:history="1">
              <w:r w:rsidRPr="00ED7F24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 w:eastAsia="en-US"/>
                </w:rPr>
                <w:t>J.Kobylarz@stat.gov.pl</w:t>
              </w:r>
            </w:hyperlink>
          </w:p>
        </w:tc>
        <w:tc>
          <w:tcPr>
            <w:tcW w:w="3942" w:type="dxa"/>
          </w:tcPr>
          <w:p w:rsidR="0064104F" w:rsidRPr="0050555C" w:rsidRDefault="0064104F" w:rsidP="00E23337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0555C">
              <w:rPr>
                <w:rFonts w:cs="Arial"/>
                <w:color w:val="000000"/>
                <w:sz w:val="20"/>
              </w:rPr>
              <w:t>Rozpowszechnianie:</w:t>
            </w:r>
            <w:r w:rsidRPr="0050555C">
              <w:rPr>
                <w:rFonts w:cs="Arial"/>
                <w:color w:val="000000"/>
                <w:sz w:val="20"/>
              </w:rPr>
              <w:br/>
            </w:r>
            <w:r w:rsidRPr="0050555C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:rsidR="0064104F" w:rsidRPr="00ED7F24" w:rsidRDefault="0064104F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</w:pPr>
            <w:r w:rsidRPr="00ED7F24"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  <w:t>Karolina Dawidziuk</w:t>
            </w:r>
          </w:p>
          <w:p w:rsidR="0064104F" w:rsidRPr="00ED7F24" w:rsidRDefault="0064104F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 w:eastAsia="en-US"/>
              </w:rPr>
            </w:pPr>
            <w:r w:rsidRPr="00ED7F24">
              <w:rPr>
                <w:rFonts w:ascii="Fira Sans" w:hAnsi="Fira Sans" w:cs="Arial"/>
                <w:color w:val="000000"/>
                <w:sz w:val="20"/>
                <w:lang w:val="fi-FI" w:eastAsia="en-US"/>
              </w:rPr>
              <w:t>Tel: 22 608 3475, 22 608 3009</w:t>
            </w:r>
          </w:p>
          <w:p w:rsidR="0064104F" w:rsidRPr="00ED7F24" w:rsidRDefault="0064104F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 w:eastAsia="en-US"/>
              </w:rPr>
            </w:pPr>
            <w:r w:rsidRPr="00ED7F24">
              <w:rPr>
                <w:rFonts w:ascii="Fira Sans" w:hAnsi="Fira Sans" w:cs="Arial"/>
                <w:b/>
                <w:color w:val="000000"/>
                <w:sz w:val="20"/>
                <w:szCs w:val="20"/>
                <w:lang w:val="en-US" w:eastAsia="en-US"/>
              </w:rPr>
              <w:t xml:space="preserve">e-mail: </w:t>
            </w:r>
            <w:hyperlink r:id="rId19" w:history="1">
              <w:r w:rsidRPr="00ED7F24">
                <w:rPr>
                  <w:rStyle w:val="Hipercze"/>
                  <w:rFonts w:ascii="Fira Sans" w:hAnsi="Fira Sans" w:cs="Arial"/>
                  <w:b/>
                  <w:color w:val="000000"/>
                  <w:sz w:val="20"/>
                  <w:szCs w:val="20"/>
                  <w:lang w:val="en-US" w:eastAsia="en-US"/>
                </w:rPr>
                <w:t>rzecznik@stat.gov.pl</w:t>
              </w:r>
            </w:hyperlink>
          </w:p>
        </w:tc>
      </w:tr>
    </w:tbl>
    <w:p w:rsidR="0064104F" w:rsidRPr="00F64AC1" w:rsidRDefault="0064104F" w:rsidP="000470AA">
      <w:pPr>
        <w:rPr>
          <w:sz w:val="20"/>
          <w:lang w:val="en-US"/>
        </w:rPr>
      </w:pPr>
    </w:p>
    <w:p w:rsidR="0064104F" w:rsidRPr="00F64AC1" w:rsidRDefault="0064104F" w:rsidP="000470AA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452"/>
        <w:gridCol w:w="604"/>
        <w:gridCol w:w="3125"/>
      </w:tblGrid>
      <w:tr w:rsidR="0064104F" w:rsidRPr="0050555C" w:rsidTr="0050555C">
        <w:trPr>
          <w:trHeight w:val="610"/>
        </w:trPr>
        <w:tc>
          <w:tcPr>
            <w:tcW w:w="2721" w:type="pct"/>
            <w:vMerge w:val="restart"/>
            <w:vAlign w:val="center"/>
          </w:tcPr>
          <w:p w:rsidR="0064104F" w:rsidRPr="0050555C" w:rsidRDefault="0064104F" w:rsidP="000470AA">
            <w:pPr>
              <w:rPr>
                <w:b/>
                <w:sz w:val="20"/>
              </w:rPr>
            </w:pPr>
            <w:r w:rsidRPr="0050555C">
              <w:rPr>
                <w:b/>
                <w:sz w:val="20"/>
              </w:rPr>
              <w:t xml:space="preserve">Wydział Współpracy z Mediami </w:t>
            </w:r>
          </w:p>
          <w:p w:rsidR="0064104F" w:rsidRPr="0050555C" w:rsidRDefault="0064104F" w:rsidP="000470AA">
            <w:pPr>
              <w:rPr>
                <w:sz w:val="20"/>
              </w:rPr>
            </w:pPr>
            <w:r w:rsidRPr="0050555C">
              <w:rPr>
                <w:b/>
                <w:sz w:val="20"/>
              </w:rPr>
              <w:t xml:space="preserve">tel.: </w:t>
            </w:r>
            <w:r w:rsidRPr="0050555C">
              <w:rPr>
                <w:sz w:val="20"/>
              </w:rPr>
              <w:t xml:space="preserve">+48 22 608 34 91, +48 22 608 38 04 </w:t>
            </w:r>
          </w:p>
          <w:p w:rsidR="0064104F" w:rsidRPr="0050555C" w:rsidRDefault="0064104F" w:rsidP="000470AA">
            <w:pPr>
              <w:rPr>
                <w:sz w:val="20"/>
                <w:lang w:val="en-US"/>
              </w:rPr>
            </w:pPr>
            <w:r w:rsidRPr="0050555C">
              <w:rPr>
                <w:b/>
                <w:sz w:val="20"/>
                <w:lang w:val="en-US"/>
              </w:rPr>
              <w:t>faks:</w:t>
            </w:r>
            <w:r w:rsidRPr="0050555C">
              <w:rPr>
                <w:sz w:val="20"/>
                <w:lang w:val="en-US"/>
              </w:rPr>
              <w:t xml:space="preserve"> +48 22 608 38 86 </w:t>
            </w:r>
          </w:p>
          <w:p w:rsidR="0064104F" w:rsidRPr="0050555C" w:rsidRDefault="0064104F" w:rsidP="000470AA">
            <w:pPr>
              <w:rPr>
                <w:sz w:val="18"/>
                <w:lang w:val="en-US"/>
              </w:rPr>
            </w:pPr>
            <w:r w:rsidRPr="0050555C">
              <w:rPr>
                <w:b/>
                <w:sz w:val="20"/>
                <w:lang w:val="en-US"/>
              </w:rPr>
              <w:t>e-mail:</w:t>
            </w:r>
            <w:r w:rsidRPr="0050555C">
              <w:rPr>
                <w:sz w:val="20"/>
                <w:lang w:val="en-US"/>
              </w:rPr>
              <w:t xml:space="preserve"> </w:t>
            </w:r>
            <w:hyperlink r:id="rId20" w:history="1">
              <w:r w:rsidRPr="0050555C">
                <w:rPr>
                  <w:rStyle w:val="Hipercze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64104F" w:rsidRPr="0050555C" w:rsidRDefault="00360544" w:rsidP="000470AA">
            <w:pPr>
              <w:rPr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19050" t="0" r="0" b="0"/>
                  <wp:wrapNone/>
                  <wp:docPr id="17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64104F" w:rsidRPr="0050555C" w:rsidRDefault="0064104F" w:rsidP="000470AA">
            <w:pPr>
              <w:rPr>
                <w:sz w:val="18"/>
              </w:rPr>
            </w:pPr>
            <w:r w:rsidRPr="0050555C">
              <w:rPr>
                <w:sz w:val="20"/>
              </w:rPr>
              <w:t>www.stat.gov.pl</w:t>
            </w:r>
          </w:p>
        </w:tc>
      </w:tr>
      <w:tr w:rsidR="0064104F" w:rsidRPr="0050555C" w:rsidTr="0050555C">
        <w:trPr>
          <w:trHeight w:val="436"/>
        </w:trPr>
        <w:tc>
          <w:tcPr>
            <w:tcW w:w="2721" w:type="pct"/>
            <w:vMerge/>
            <w:vAlign w:val="center"/>
          </w:tcPr>
          <w:p w:rsidR="0064104F" w:rsidRPr="0050555C" w:rsidRDefault="0064104F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64104F" w:rsidRPr="0050555C" w:rsidRDefault="00360544" w:rsidP="000470AA">
            <w:pPr>
              <w:rPr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19050" t="0" r="0" b="0"/>
                  <wp:wrapNone/>
                  <wp:docPr id="18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64104F" w:rsidRPr="0050555C" w:rsidRDefault="0064104F" w:rsidP="000470AA">
            <w:pPr>
              <w:rPr>
                <w:sz w:val="18"/>
              </w:rPr>
            </w:pPr>
            <w:r w:rsidRPr="0050555C">
              <w:rPr>
                <w:sz w:val="20"/>
              </w:rPr>
              <w:t>@GUS_STAT</w:t>
            </w:r>
          </w:p>
        </w:tc>
      </w:tr>
      <w:tr w:rsidR="0064104F" w:rsidRPr="0050555C" w:rsidTr="0050555C">
        <w:trPr>
          <w:trHeight w:val="436"/>
        </w:trPr>
        <w:tc>
          <w:tcPr>
            <w:tcW w:w="2721" w:type="pct"/>
            <w:vMerge/>
            <w:vAlign w:val="center"/>
          </w:tcPr>
          <w:p w:rsidR="0064104F" w:rsidRPr="0050555C" w:rsidRDefault="0064104F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64104F" w:rsidRPr="0050555C" w:rsidRDefault="00360544" w:rsidP="000470AA">
            <w:pPr>
              <w:rPr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19050" t="0" r="0" b="0"/>
                  <wp:wrapNone/>
                  <wp:docPr id="19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64104F" w:rsidRPr="0050555C" w:rsidRDefault="0064104F" w:rsidP="000470AA">
            <w:pPr>
              <w:rPr>
                <w:sz w:val="20"/>
              </w:rPr>
            </w:pPr>
            <w:r w:rsidRPr="0050555C">
              <w:rPr>
                <w:sz w:val="20"/>
              </w:rPr>
              <w:t>@GlownyUrzadStatystyczny</w:t>
            </w:r>
          </w:p>
        </w:tc>
      </w:tr>
    </w:tbl>
    <w:p w:rsidR="0064104F" w:rsidRPr="00001C5B" w:rsidRDefault="00660957" w:rsidP="00E76D26">
      <w:pPr>
        <w:rPr>
          <w:sz w:val="18"/>
        </w:rPr>
      </w:pPr>
      <w:r>
        <w:rPr>
          <w:noProof/>
          <w:lang w:eastAsia="pl-PL"/>
        </w:rPr>
        <w:pict>
          <v:shape id="_x0000_s1027" type="#_x0000_t202" style="position:absolute;margin-left:12.45pt;margin-top:49.65pt;width:493pt;height:429.1pt;z-index:251657216;visibility:visible;mso-wrap-distance-top:3.6pt;mso-wrap-distance-bottom:3.6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TuOUWPwIAAHMEAAAO&#10;AAAAAAAAAAAAAAAAAC4CAABkcnMvZTJvRG9jLnhtbFBLAQItABQABgAIAAAAIQBuwDF83wAAAAkB&#10;AAAPAAAAAAAAAAAAAAAAAJkEAABkcnMvZG93bnJldi54bWxQSwUGAAAAAAQABADzAAAApQUAAAAA&#10;" fillcolor="#f2f2f2" strokecolor="white">
            <v:textbox>
              <w:txbxContent>
                <w:p w:rsidR="0064104F" w:rsidRDefault="0064104F" w:rsidP="00AB6D25">
                  <w:pPr>
                    <w:rPr>
                      <w:b/>
                    </w:rPr>
                  </w:pPr>
                </w:p>
                <w:p w:rsidR="0064104F" w:rsidRDefault="0064104F" w:rsidP="00AB6D25">
                  <w:pPr>
                    <w:rPr>
                      <w:b/>
                    </w:rPr>
                  </w:pPr>
                  <w:r w:rsidRPr="0026524A">
                    <w:rPr>
                      <w:b/>
                    </w:rPr>
                    <w:t>Powiązane opracowania</w:t>
                  </w:r>
                </w:p>
                <w:p w:rsidR="00D944D5" w:rsidRDefault="00660957" w:rsidP="00AB6D25">
                  <w:hyperlink r:id="rId24" w:history="1">
                    <w:r w:rsidR="00D944D5" w:rsidRPr="00D944D5">
                      <w:rPr>
                        <w:rStyle w:val="Hipercze"/>
                      </w:rPr>
                      <w:t>Budownictwo – wyniki działalności w 2016 r.</w:t>
                    </w:r>
                  </w:hyperlink>
                </w:p>
                <w:p w:rsidR="0064104F" w:rsidRPr="00E36CA6" w:rsidRDefault="0064104F" w:rsidP="00AB6D25">
                  <w:r w:rsidRPr="0050555C">
                    <w:rPr>
                      <w:b/>
                      <w:color w:val="000000"/>
                      <w:szCs w:val="24"/>
                    </w:rPr>
                    <w:t>Temat dostępny w bazach danych</w:t>
                  </w:r>
                </w:p>
                <w:p w:rsidR="00BF5A69" w:rsidRPr="00BF5A69" w:rsidRDefault="00660957" w:rsidP="00AB6D25">
                  <w:pPr>
                    <w:rPr>
                      <w:color w:val="000000"/>
                      <w:szCs w:val="24"/>
                    </w:rPr>
                  </w:pPr>
                  <w:hyperlink r:id="rId25" w:history="1">
                    <w:r w:rsidR="00BF5A69" w:rsidRPr="00BF5A69">
                      <w:rPr>
                        <w:rStyle w:val="Hipercze"/>
                        <w:szCs w:val="24"/>
                      </w:rPr>
                      <w:t>Dziedzinowa Baza Wiedzy Budownictwo</w:t>
                    </w:r>
                  </w:hyperlink>
                </w:p>
                <w:p w:rsidR="00E20A2F" w:rsidRPr="00E20A2F" w:rsidRDefault="00660957" w:rsidP="00AB6D25">
                  <w:hyperlink r:id="rId26" w:history="1">
                    <w:r w:rsidR="00E20A2F" w:rsidRPr="00E20A2F">
                      <w:rPr>
                        <w:rStyle w:val="Hipercze"/>
                      </w:rPr>
                      <w:t>Bank Danych Lokalnych</w:t>
                    </w:r>
                  </w:hyperlink>
                </w:p>
                <w:p w:rsidR="0064104F" w:rsidRDefault="0064104F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0555C">
                    <w:rPr>
                      <w:b/>
                      <w:color w:val="000000"/>
                      <w:szCs w:val="24"/>
                    </w:rPr>
                    <w:t>Ważniejsze pojęcia dostępne w słowniku</w:t>
                  </w:r>
                </w:p>
                <w:p w:rsidR="00F21E25" w:rsidRPr="00F21E25" w:rsidRDefault="00660957" w:rsidP="00AB6D25">
                  <w:pPr>
                    <w:rPr>
                      <w:color w:val="000000"/>
                      <w:szCs w:val="24"/>
                    </w:rPr>
                  </w:pPr>
                  <w:hyperlink r:id="rId27" w:history="1">
                    <w:r w:rsidR="00F21E25" w:rsidRPr="00F21E25">
                      <w:rPr>
                        <w:rStyle w:val="Hipercze"/>
                        <w:szCs w:val="24"/>
                      </w:rPr>
                      <w:t>Budynek</w:t>
                    </w:r>
                  </w:hyperlink>
                </w:p>
                <w:p w:rsidR="00F21E25" w:rsidRDefault="00660957" w:rsidP="00AB6D25">
                  <w:pPr>
                    <w:rPr>
                      <w:color w:val="000000"/>
                      <w:szCs w:val="24"/>
                    </w:rPr>
                  </w:pPr>
                  <w:hyperlink r:id="rId28" w:history="1">
                    <w:r w:rsidR="00F21E25" w:rsidRPr="00F21E25">
                      <w:rPr>
                        <w:rStyle w:val="Hipercze"/>
                        <w:szCs w:val="24"/>
                      </w:rPr>
                      <w:t>Budynek niemieszkalny</w:t>
                    </w:r>
                  </w:hyperlink>
                </w:p>
                <w:p w:rsidR="00E20A2F" w:rsidRDefault="00660957" w:rsidP="00AB6D25">
                  <w:pPr>
                    <w:rPr>
                      <w:color w:val="000000"/>
                      <w:szCs w:val="24"/>
                    </w:rPr>
                  </w:pPr>
                  <w:hyperlink r:id="rId29" w:history="1">
                    <w:r w:rsidR="00E20A2F" w:rsidRPr="00E20A2F">
                      <w:rPr>
                        <w:rStyle w:val="Hipercze"/>
                        <w:szCs w:val="24"/>
                      </w:rPr>
                      <w:t>Budynek niemieszkalny oddany do użytkowania</w:t>
                    </w:r>
                  </w:hyperlink>
                </w:p>
                <w:p w:rsidR="00E20A2F" w:rsidRDefault="00660957" w:rsidP="00AB6D25">
                  <w:pPr>
                    <w:rPr>
                      <w:color w:val="000000"/>
                      <w:szCs w:val="24"/>
                    </w:rPr>
                  </w:pPr>
                  <w:hyperlink r:id="rId30" w:history="1">
                    <w:r w:rsidR="00E20A2F" w:rsidRPr="00E20A2F">
                      <w:rPr>
                        <w:rStyle w:val="Hipercze"/>
                        <w:szCs w:val="24"/>
                      </w:rPr>
                      <w:t>Obiekty inżynierii lądowej i wodnej</w:t>
                    </w:r>
                  </w:hyperlink>
                </w:p>
                <w:p w:rsidR="00F21E25" w:rsidRDefault="00660957" w:rsidP="00AB6D25">
                  <w:pPr>
                    <w:rPr>
                      <w:color w:val="000000"/>
                      <w:szCs w:val="24"/>
                    </w:rPr>
                  </w:pPr>
                  <w:hyperlink r:id="rId31" w:history="1">
                    <w:r w:rsidR="00F21E25" w:rsidRPr="00F21E25">
                      <w:rPr>
                        <w:rStyle w:val="Hipercze"/>
                        <w:szCs w:val="24"/>
                      </w:rPr>
                      <w:t>Powierzchnia użytkowa budynku</w:t>
                    </w:r>
                  </w:hyperlink>
                </w:p>
                <w:p w:rsidR="00012CBE" w:rsidRDefault="00660957" w:rsidP="00AB6D25">
                  <w:hyperlink r:id="rId32" w:history="1">
                    <w:r w:rsidR="00012CBE" w:rsidRPr="00F21E25">
                      <w:rPr>
                        <w:rStyle w:val="Hipercze"/>
                      </w:rPr>
                      <w:t>Pozwolenie na budowę</w:t>
                    </w:r>
                    <w:r w:rsidR="00F21E25" w:rsidRPr="00F21E25">
                      <w:rPr>
                        <w:rStyle w:val="Hipercze"/>
                      </w:rPr>
                      <w:t xml:space="preserve"> i zgłoszenie z projektem budowlanym</w:t>
                    </w:r>
                  </w:hyperlink>
                </w:p>
                <w:p w:rsidR="00E20A2F" w:rsidRDefault="00E20A2F" w:rsidP="00AB6D25"/>
                <w:p w:rsidR="00F21E25" w:rsidRDefault="00F21E25" w:rsidP="00AB6D25">
                  <w:pPr>
                    <w:rPr>
                      <w:rFonts w:ascii="firaregular" w:hAnsi="firaregular"/>
                      <w:color w:val="222222"/>
                      <w:sz w:val="16"/>
                      <w:szCs w:val="16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64104F" w:rsidRPr="00001C5B" w:rsidSect="00AE4F99">
      <w:headerReference w:type="default" r:id="rId33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957" w:rsidRDefault="00660957" w:rsidP="000662E2">
      <w:pPr>
        <w:spacing w:after="0" w:line="240" w:lineRule="auto"/>
      </w:pPr>
      <w:r>
        <w:separator/>
      </w:r>
    </w:p>
  </w:endnote>
  <w:endnote w:type="continuationSeparator" w:id="0">
    <w:p w:rsidR="00660957" w:rsidRDefault="00660957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ira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4F" w:rsidRDefault="00E20016">
    <w:pPr>
      <w:pStyle w:val="Stopka"/>
      <w:jc w:val="center"/>
    </w:pPr>
    <w:r>
      <w:fldChar w:fldCharType="begin"/>
    </w:r>
    <w:r w:rsidR="00774267">
      <w:instrText xml:space="preserve"> PAGE   \* MERGEFORMAT </w:instrText>
    </w:r>
    <w:r>
      <w:fldChar w:fldCharType="separate"/>
    </w:r>
    <w:r w:rsidR="00B05B2E">
      <w:rPr>
        <w:noProof/>
      </w:rPr>
      <w:t>4</w:t>
    </w:r>
    <w:r>
      <w:rPr>
        <w:noProof/>
      </w:rPr>
      <w:fldChar w:fldCharType="end"/>
    </w:r>
  </w:p>
  <w:p w:rsidR="0064104F" w:rsidRPr="007B4F73" w:rsidRDefault="0064104F" w:rsidP="007B4F7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4F" w:rsidRDefault="00E20016">
    <w:pPr>
      <w:pStyle w:val="Stopka"/>
      <w:jc w:val="center"/>
    </w:pPr>
    <w:r>
      <w:fldChar w:fldCharType="begin"/>
    </w:r>
    <w:r w:rsidR="00774267">
      <w:instrText xml:space="preserve"> PAGE   \* MERGEFORMAT </w:instrText>
    </w:r>
    <w:r>
      <w:fldChar w:fldCharType="separate"/>
    </w:r>
    <w:r w:rsidR="00B05B2E">
      <w:rPr>
        <w:noProof/>
      </w:rPr>
      <w:t>1</w:t>
    </w:r>
    <w:r>
      <w:rPr>
        <w:noProof/>
      </w:rPr>
      <w:fldChar w:fldCharType="end"/>
    </w:r>
  </w:p>
  <w:p w:rsidR="0064104F" w:rsidRPr="00CC1C7C" w:rsidRDefault="0064104F" w:rsidP="00CC1C7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957" w:rsidRDefault="00660957" w:rsidP="000662E2">
      <w:pPr>
        <w:spacing w:after="0" w:line="240" w:lineRule="auto"/>
      </w:pPr>
      <w:r>
        <w:separator/>
      </w:r>
    </w:p>
  </w:footnote>
  <w:footnote w:type="continuationSeparator" w:id="0">
    <w:p w:rsidR="00660957" w:rsidRDefault="00660957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4F" w:rsidRDefault="00660957">
    <w:pPr>
      <w:pStyle w:val="Nagwek"/>
    </w:pPr>
    <w:r>
      <w:rPr>
        <w:noProof/>
      </w:rPr>
      <w:pict>
        <v:rect id="Prostokąt 24" o:spid="_x0000_s2051" style="position:absolute;margin-left:410.6pt;margin-top:-14.05pt;width:147.6pt;height:1785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" stroked="f" strokeweight="1pt"/>
      </w:pict>
    </w:r>
  </w:p>
  <w:p w:rsidR="0064104F" w:rsidRDefault="006410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4F" w:rsidRDefault="00B05B2E">
    <w:pPr>
      <w:pStyle w:val="Nagwek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1.5pt;margin-top:6.8pt;width:164.25pt;height:57.25pt;z-index:251660288;mso-position-horizontal-relative:text;mso-position-vertical-relative:text">
          <v:imagedata r:id="rId1" o:title="Logo jubileuszowe wersja dla GUS odmiana podstawowa wariant kolorowy-01"/>
          <w10:wrap type="square"/>
        </v:shape>
      </w:pict>
    </w:r>
    <w:r w:rsidR="00660957">
      <w:rPr>
        <w:noProof/>
      </w:rPr>
      <w:pict>
        <v:shape id="Schemat blokowy: opóźnienie 6" o:spid="_x0000_s2049" style="position:absolute;margin-left:396.6pt;margin-top:15.65pt;width:162.25pt;height:28.15pt;flip:x;z-index:251656192;visibility:visible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64104F" w:rsidRPr="003C6C8D" w:rsidRDefault="0064104F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 w:rsidR="00660957">
      <w:rPr>
        <w:noProof/>
      </w:rPr>
      <w:pict>
        <v:rect id="Prostokąt 10" o:spid="_x0000_s2052" style="position:absolute;margin-left:410.95pt;margin-top:40.3pt;width:147.4pt;height:1803.55pt;z-index:-251657216;visibility:visible;v-text-anchor:middle" wrapcoords="-110 0 -110 21591 21600 21591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<w10:wrap type="tight"/>
        </v:rect>
      </w:pict>
    </w:r>
  </w:p>
  <w:p w:rsidR="00B05B2E" w:rsidRDefault="00B05B2E">
    <w:pPr>
      <w:pStyle w:val="Nagwek"/>
      <w:rPr>
        <w:noProof/>
      </w:rPr>
    </w:pPr>
  </w:p>
  <w:p w:rsidR="00B05B2E" w:rsidRDefault="00B05B2E">
    <w:pPr>
      <w:pStyle w:val="Nagwek"/>
      <w:rPr>
        <w:noProof/>
      </w:rPr>
    </w:pPr>
  </w:p>
  <w:p w:rsidR="0064104F" w:rsidRDefault="00660957">
    <w:pPr>
      <w:pStyle w:val="Nagwek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pt;margin-top:20.95pt;width:112.8pt;height:26.5pt;z-index:25165721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<v:textbox style="mso-next-textbox:#_x0000_s2050">
            <w:txbxContent>
              <w:p w:rsidR="0064104F" w:rsidRPr="00C97596" w:rsidRDefault="008359A7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08</w:t>
                </w:r>
                <w:r w:rsidR="0064104F">
                  <w:rPr>
                    <w:rFonts w:ascii="Fira Sans SemiBold" w:hAnsi="Fira Sans SemiBold"/>
                    <w:color w:val="001D77"/>
                  </w:rPr>
                  <w:t>.0</w:t>
                </w:r>
                <w:r>
                  <w:rPr>
                    <w:rFonts w:ascii="Fira Sans SemiBold" w:hAnsi="Fira Sans SemiBold"/>
                    <w:color w:val="001D77"/>
                  </w:rPr>
                  <w:t>6</w:t>
                </w:r>
                <w:r w:rsidR="0064104F">
                  <w:rPr>
                    <w:rFonts w:ascii="Fira Sans SemiBold" w:hAnsi="Fira Sans SemiBold"/>
                    <w:color w:val="001D77"/>
                  </w:rPr>
                  <w:t>.2018</w:t>
                </w:r>
                <w:r w:rsidR="0064104F"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4F" w:rsidRDefault="0064104F">
    <w:pPr>
      <w:pStyle w:val="Nagwek"/>
    </w:pPr>
  </w:p>
  <w:p w:rsidR="0064104F" w:rsidRDefault="006410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3pt;height:125.25pt;visibility:visible" o:bullet="t">
        <v:imagedata r:id="rId1" o:title=""/>
      </v:shape>
    </w:pict>
  </w:numPicBullet>
  <w:numPicBullet w:numPicBulletId="1">
    <w:pict>
      <v:shape id="_x0000_i1045" type="#_x0000_t75" style="width:123.75pt;height:125.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C5B"/>
    <w:rsid w:val="000024F6"/>
    <w:rsid w:val="00003437"/>
    <w:rsid w:val="000039D0"/>
    <w:rsid w:val="00003ED8"/>
    <w:rsid w:val="0000709F"/>
    <w:rsid w:val="00010016"/>
    <w:rsid w:val="000108B8"/>
    <w:rsid w:val="00010E3A"/>
    <w:rsid w:val="00012CBE"/>
    <w:rsid w:val="00013B5C"/>
    <w:rsid w:val="00013B5E"/>
    <w:rsid w:val="000152F5"/>
    <w:rsid w:val="000232FC"/>
    <w:rsid w:val="0002341F"/>
    <w:rsid w:val="00027A5E"/>
    <w:rsid w:val="00027B92"/>
    <w:rsid w:val="00030CB0"/>
    <w:rsid w:val="0003121F"/>
    <w:rsid w:val="0003165C"/>
    <w:rsid w:val="00044EC8"/>
    <w:rsid w:val="0004582E"/>
    <w:rsid w:val="000470AA"/>
    <w:rsid w:val="00047869"/>
    <w:rsid w:val="000508A2"/>
    <w:rsid w:val="00050EDE"/>
    <w:rsid w:val="00053DC7"/>
    <w:rsid w:val="00057B90"/>
    <w:rsid w:val="00057CA1"/>
    <w:rsid w:val="000662E2"/>
    <w:rsid w:val="00066883"/>
    <w:rsid w:val="00070982"/>
    <w:rsid w:val="00074DD8"/>
    <w:rsid w:val="000761AC"/>
    <w:rsid w:val="000764B0"/>
    <w:rsid w:val="000806F7"/>
    <w:rsid w:val="000809C8"/>
    <w:rsid w:val="00085121"/>
    <w:rsid w:val="0008643A"/>
    <w:rsid w:val="0008743E"/>
    <w:rsid w:val="00090877"/>
    <w:rsid w:val="00092F25"/>
    <w:rsid w:val="0009389F"/>
    <w:rsid w:val="000969BC"/>
    <w:rsid w:val="000A2C30"/>
    <w:rsid w:val="000A68CB"/>
    <w:rsid w:val="000B0727"/>
    <w:rsid w:val="000B6E1A"/>
    <w:rsid w:val="000C122A"/>
    <w:rsid w:val="000C135D"/>
    <w:rsid w:val="000C3C2C"/>
    <w:rsid w:val="000C7546"/>
    <w:rsid w:val="000D1D43"/>
    <w:rsid w:val="000D1EAF"/>
    <w:rsid w:val="000D225C"/>
    <w:rsid w:val="000D2356"/>
    <w:rsid w:val="000D2A5C"/>
    <w:rsid w:val="000D2CEF"/>
    <w:rsid w:val="000D2E0B"/>
    <w:rsid w:val="000D322F"/>
    <w:rsid w:val="000E01F9"/>
    <w:rsid w:val="000E0918"/>
    <w:rsid w:val="000E2191"/>
    <w:rsid w:val="000E4099"/>
    <w:rsid w:val="000E41A2"/>
    <w:rsid w:val="000E663E"/>
    <w:rsid w:val="000F363F"/>
    <w:rsid w:val="001008E9"/>
    <w:rsid w:val="001011C3"/>
    <w:rsid w:val="00102F1A"/>
    <w:rsid w:val="001031F1"/>
    <w:rsid w:val="0010687B"/>
    <w:rsid w:val="00110D87"/>
    <w:rsid w:val="00114DB9"/>
    <w:rsid w:val="001158BE"/>
    <w:rsid w:val="00116087"/>
    <w:rsid w:val="0011736A"/>
    <w:rsid w:val="00126F8E"/>
    <w:rsid w:val="00130296"/>
    <w:rsid w:val="00137B21"/>
    <w:rsid w:val="001423B6"/>
    <w:rsid w:val="00142DAC"/>
    <w:rsid w:val="001448A7"/>
    <w:rsid w:val="00146621"/>
    <w:rsid w:val="00152273"/>
    <w:rsid w:val="00155438"/>
    <w:rsid w:val="00155DEE"/>
    <w:rsid w:val="00161204"/>
    <w:rsid w:val="00161D94"/>
    <w:rsid w:val="00162125"/>
    <w:rsid w:val="00162325"/>
    <w:rsid w:val="00166274"/>
    <w:rsid w:val="00170750"/>
    <w:rsid w:val="00173973"/>
    <w:rsid w:val="00174E7E"/>
    <w:rsid w:val="00175652"/>
    <w:rsid w:val="001758E0"/>
    <w:rsid w:val="00176BC0"/>
    <w:rsid w:val="00177231"/>
    <w:rsid w:val="0017779B"/>
    <w:rsid w:val="001777D8"/>
    <w:rsid w:val="00180E85"/>
    <w:rsid w:val="001850EA"/>
    <w:rsid w:val="00185AAE"/>
    <w:rsid w:val="0019029D"/>
    <w:rsid w:val="00190E0D"/>
    <w:rsid w:val="00192D62"/>
    <w:rsid w:val="001951DA"/>
    <w:rsid w:val="001952F2"/>
    <w:rsid w:val="00195767"/>
    <w:rsid w:val="001A0A33"/>
    <w:rsid w:val="001A324E"/>
    <w:rsid w:val="001A4380"/>
    <w:rsid w:val="001A5784"/>
    <w:rsid w:val="001B2192"/>
    <w:rsid w:val="001C306C"/>
    <w:rsid w:val="001C3269"/>
    <w:rsid w:val="001C5D15"/>
    <w:rsid w:val="001D03B4"/>
    <w:rsid w:val="001D0CB4"/>
    <w:rsid w:val="001D0ECD"/>
    <w:rsid w:val="001D1DB4"/>
    <w:rsid w:val="001D270F"/>
    <w:rsid w:val="001D2A8C"/>
    <w:rsid w:val="001D2AD6"/>
    <w:rsid w:val="001E3BE5"/>
    <w:rsid w:val="001F1CC9"/>
    <w:rsid w:val="001F6797"/>
    <w:rsid w:val="00202E71"/>
    <w:rsid w:val="00204A8E"/>
    <w:rsid w:val="00205EE5"/>
    <w:rsid w:val="00213C1D"/>
    <w:rsid w:val="0022147F"/>
    <w:rsid w:val="002245C4"/>
    <w:rsid w:val="00233DC9"/>
    <w:rsid w:val="00236405"/>
    <w:rsid w:val="0023734A"/>
    <w:rsid w:val="00240B3E"/>
    <w:rsid w:val="002424C3"/>
    <w:rsid w:val="00246ECD"/>
    <w:rsid w:val="002508DE"/>
    <w:rsid w:val="002574F9"/>
    <w:rsid w:val="0026524A"/>
    <w:rsid w:val="00270FCF"/>
    <w:rsid w:val="002725D4"/>
    <w:rsid w:val="00276811"/>
    <w:rsid w:val="00282699"/>
    <w:rsid w:val="00284612"/>
    <w:rsid w:val="00290126"/>
    <w:rsid w:val="00290F23"/>
    <w:rsid w:val="002926DF"/>
    <w:rsid w:val="00296697"/>
    <w:rsid w:val="002A0E7B"/>
    <w:rsid w:val="002A167D"/>
    <w:rsid w:val="002A4348"/>
    <w:rsid w:val="002A437B"/>
    <w:rsid w:val="002A5BE1"/>
    <w:rsid w:val="002B0009"/>
    <w:rsid w:val="002B0472"/>
    <w:rsid w:val="002B18C6"/>
    <w:rsid w:val="002B47BE"/>
    <w:rsid w:val="002B6B12"/>
    <w:rsid w:val="002B6B7B"/>
    <w:rsid w:val="002B7514"/>
    <w:rsid w:val="002C6270"/>
    <w:rsid w:val="002D01F9"/>
    <w:rsid w:val="002D0DA2"/>
    <w:rsid w:val="002D1C52"/>
    <w:rsid w:val="002E13A8"/>
    <w:rsid w:val="002E1A9E"/>
    <w:rsid w:val="002E3888"/>
    <w:rsid w:val="002E5257"/>
    <w:rsid w:val="002E6140"/>
    <w:rsid w:val="002E6985"/>
    <w:rsid w:val="002E71B6"/>
    <w:rsid w:val="002F0AF1"/>
    <w:rsid w:val="002F2D8E"/>
    <w:rsid w:val="002F348B"/>
    <w:rsid w:val="002F77C8"/>
    <w:rsid w:val="00303046"/>
    <w:rsid w:val="00304F22"/>
    <w:rsid w:val="00306C7C"/>
    <w:rsid w:val="00306F47"/>
    <w:rsid w:val="00313891"/>
    <w:rsid w:val="00320924"/>
    <w:rsid w:val="00322858"/>
    <w:rsid w:val="00322A6A"/>
    <w:rsid w:val="00322EDD"/>
    <w:rsid w:val="00326B05"/>
    <w:rsid w:val="00332320"/>
    <w:rsid w:val="00335BE5"/>
    <w:rsid w:val="00347D72"/>
    <w:rsid w:val="00351D29"/>
    <w:rsid w:val="00351E73"/>
    <w:rsid w:val="00357611"/>
    <w:rsid w:val="00360544"/>
    <w:rsid w:val="00361746"/>
    <w:rsid w:val="00363693"/>
    <w:rsid w:val="00365F22"/>
    <w:rsid w:val="00367237"/>
    <w:rsid w:val="00367EC7"/>
    <w:rsid w:val="0037077F"/>
    <w:rsid w:val="00373882"/>
    <w:rsid w:val="00374475"/>
    <w:rsid w:val="00375215"/>
    <w:rsid w:val="003759F8"/>
    <w:rsid w:val="00381354"/>
    <w:rsid w:val="00381B0D"/>
    <w:rsid w:val="003843DB"/>
    <w:rsid w:val="00386065"/>
    <w:rsid w:val="00392B01"/>
    <w:rsid w:val="00393761"/>
    <w:rsid w:val="00396FBD"/>
    <w:rsid w:val="00397D18"/>
    <w:rsid w:val="003A1B36"/>
    <w:rsid w:val="003A2F3A"/>
    <w:rsid w:val="003B1454"/>
    <w:rsid w:val="003B2CE3"/>
    <w:rsid w:val="003B49BF"/>
    <w:rsid w:val="003B6350"/>
    <w:rsid w:val="003C0486"/>
    <w:rsid w:val="003C09EB"/>
    <w:rsid w:val="003C0E05"/>
    <w:rsid w:val="003C59E0"/>
    <w:rsid w:val="003C63EB"/>
    <w:rsid w:val="003C6C8D"/>
    <w:rsid w:val="003D329A"/>
    <w:rsid w:val="003D3ADB"/>
    <w:rsid w:val="003D4F95"/>
    <w:rsid w:val="003D5F42"/>
    <w:rsid w:val="003D60A9"/>
    <w:rsid w:val="003E4816"/>
    <w:rsid w:val="003F147E"/>
    <w:rsid w:val="003F4C97"/>
    <w:rsid w:val="003F7FE6"/>
    <w:rsid w:val="00400193"/>
    <w:rsid w:val="00411842"/>
    <w:rsid w:val="0041188E"/>
    <w:rsid w:val="00413D56"/>
    <w:rsid w:val="00416A63"/>
    <w:rsid w:val="00420C2A"/>
    <w:rsid w:val="004212E7"/>
    <w:rsid w:val="0042446D"/>
    <w:rsid w:val="00427281"/>
    <w:rsid w:val="00427BF8"/>
    <w:rsid w:val="00431C02"/>
    <w:rsid w:val="00434177"/>
    <w:rsid w:val="00434773"/>
    <w:rsid w:val="004358B0"/>
    <w:rsid w:val="00435BD0"/>
    <w:rsid w:val="00436707"/>
    <w:rsid w:val="00437395"/>
    <w:rsid w:val="004441AB"/>
    <w:rsid w:val="00444FD6"/>
    <w:rsid w:val="00445047"/>
    <w:rsid w:val="004466B1"/>
    <w:rsid w:val="0045654E"/>
    <w:rsid w:val="00456783"/>
    <w:rsid w:val="00457FDB"/>
    <w:rsid w:val="00463E39"/>
    <w:rsid w:val="004657FC"/>
    <w:rsid w:val="0047005B"/>
    <w:rsid w:val="00470DB5"/>
    <w:rsid w:val="004733F6"/>
    <w:rsid w:val="00474E69"/>
    <w:rsid w:val="00494700"/>
    <w:rsid w:val="004954AA"/>
    <w:rsid w:val="0049621B"/>
    <w:rsid w:val="00497505"/>
    <w:rsid w:val="004A17C9"/>
    <w:rsid w:val="004A3242"/>
    <w:rsid w:val="004B3557"/>
    <w:rsid w:val="004C00DF"/>
    <w:rsid w:val="004C062B"/>
    <w:rsid w:val="004C1895"/>
    <w:rsid w:val="004C257A"/>
    <w:rsid w:val="004C2986"/>
    <w:rsid w:val="004C6D40"/>
    <w:rsid w:val="004D665D"/>
    <w:rsid w:val="004F0C3C"/>
    <w:rsid w:val="004F63FC"/>
    <w:rsid w:val="005038B2"/>
    <w:rsid w:val="0050555C"/>
    <w:rsid w:val="00505A92"/>
    <w:rsid w:val="00517624"/>
    <w:rsid w:val="005203F1"/>
    <w:rsid w:val="00521BC3"/>
    <w:rsid w:val="0053024A"/>
    <w:rsid w:val="00533632"/>
    <w:rsid w:val="00534424"/>
    <w:rsid w:val="00535B20"/>
    <w:rsid w:val="00537F42"/>
    <w:rsid w:val="0054251F"/>
    <w:rsid w:val="005425C0"/>
    <w:rsid w:val="00546E2F"/>
    <w:rsid w:val="00547632"/>
    <w:rsid w:val="00550223"/>
    <w:rsid w:val="00550618"/>
    <w:rsid w:val="005520D8"/>
    <w:rsid w:val="00553348"/>
    <w:rsid w:val="005536DC"/>
    <w:rsid w:val="005561E8"/>
    <w:rsid w:val="00556CF1"/>
    <w:rsid w:val="00556E5D"/>
    <w:rsid w:val="00563312"/>
    <w:rsid w:val="00573E16"/>
    <w:rsid w:val="005762A7"/>
    <w:rsid w:val="00577662"/>
    <w:rsid w:val="00582DE0"/>
    <w:rsid w:val="0058529D"/>
    <w:rsid w:val="00587857"/>
    <w:rsid w:val="00587DBB"/>
    <w:rsid w:val="005916D7"/>
    <w:rsid w:val="00593509"/>
    <w:rsid w:val="00595681"/>
    <w:rsid w:val="005973DD"/>
    <w:rsid w:val="005A698C"/>
    <w:rsid w:val="005A725A"/>
    <w:rsid w:val="005B1E34"/>
    <w:rsid w:val="005B5FEA"/>
    <w:rsid w:val="005C00FD"/>
    <w:rsid w:val="005D01B4"/>
    <w:rsid w:val="005D4E8B"/>
    <w:rsid w:val="005E0799"/>
    <w:rsid w:val="005E40CF"/>
    <w:rsid w:val="005E4B3F"/>
    <w:rsid w:val="005E4E00"/>
    <w:rsid w:val="005E5557"/>
    <w:rsid w:val="005F2E17"/>
    <w:rsid w:val="005F5A80"/>
    <w:rsid w:val="006044FF"/>
    <w:rsid w:val="00607CC5"/>
    <w:rsid w:val="006102AA"/>
    <w:rsid w:val="00610965"/>
    <w:rsid w:val="0062733E"/>
    <w:rsid w:val="006277A8"/>
    <w:rsid w:val="00627CBE"/>
    <w:rsid w:val="006322BA"/>
    <w:rsid w:val="00633014"/>
    <w:rsid w:val="0063437B"/>
    <w:rsid w:val="0064104F"/>
    <w:rsid w:val="00643412"/>
    <w:rsid w:val="0065335A"/>
    <w:rsid w:val="00655F4D"/>
    <w:rsid w:val="00660957"/>
    <w:rsid w:val="00664C68"/>
    <w:rsid w:val="006673CA"/>
    <w:rsid w:val="00667D6F"/>
    <w:rsid w:val="006738A9"/>
    <w:rsid w:val="00673C26"/>
    <w:rsid w:val="00674ABE"/>
    <w:rsid w:val="0067553F"/>
    <w:rsid w:val="006812AF"/>
    <w:rsid w:val="00681587"/>
    <w:rsid w:val="006820D0"/>
    <w:rsid w:val="0068221F"/>
    <w:rsid w:val="0068327D"/>
    <w:rsid w:val="00683284"/>
    <w:rsid w:val="00690F8C"/>
    <w:rsid w:val="00691447"/>
    <w:rsid w:val="00694AF0"/>
    <w:rsid w:val="00694DF4"/>
    <w:rsid w:val="006A0715"/>
    <w:rsid w:val="006A1938"/>
    <w:rsid w:val="006A1E17"/>
    <w:rsid w:val="006A1F23"/>
    <w:rsid w:val="006B03BF"/>
    <w:rsid w:val="006B0E9E"/>
    <w:rsid w:val="006B4A55"/>
    <w:rsid w:val="006B5AE4"/>
    <w:rsid w:val="006B6138"/>
    <w:rsid w:val="006B70B9"/>
    <w:rsid w:val="006C0272"/>
    <w:rsid w:val="006D3B7E"/>
    <w:rsid w:val="006D3B94"/>
    <w:rsid w:val="006D4054"/>
    <w:rsid w:val="006D5022"/>
    <w:rsid w:val="006D5AA2"/>
    <w:rsid w:val="006D71DD"/>
    <w:rsid w:val="006E02EC"/>
    <w:rsid w:val="006E658B"/>
    <w:rsid w:val="006F4043"/>
    <w:rsid w:val="006F5EF5"/>
    <w:rsid w:val="0070081B"/>
    <w:rsid w:val="00700E4D"/>
    <w:rsid w:val="00711B06"/>
    <w:rsid w:val="007120E6"/>
    <w:rsid w:val="007129A4"/>
    <w:rsid w:val="0071324F"/>
    <w:rsid w:val="00716320"/>
    <w:rsid w:val="0071752E"/>
    <w:rsid w:val="00717B53"/>
    <w:rsid w:val="007211B1"/>
    <w:rsid w:val="00721CB2"/>
    <w:rsid w:val="0072272D"/>
    <w:rsid w:val="00726610"/>
    <w:rsid w:val="00732601"/>
    <w:rsid w:val="00732B0E"/>
    <w:rsid w:val="0073336D"/>
    <w:rsid w:val="00734CF1"/>
    <w:rsid w:val="00746187"/>
    <w:rsid w:val="007502EC"/>
    <w:rsid w:val="00752C5E"/>
    <w:rsid w:val="007608BE"/>
    <w:rsid w:val="0076254F"/>
    <w:rsid w:val="00770725"/>
    <w:rsid w:val="00774267"/>
    <w:rsid w:val="007801F5"/>
    <w:rsid w:val="00783CA4"/>
    <w:rsid w:val="007842FB"/>
    <w:rsid w:val="00786124"/>
    <w:rsid w:val="007918BC"/>
    <w:rsid w:val="0079227A"/>
    <w:rsid w:val="00794896"/>
    <w:rsid w:val="0079514B"/>
    <w:rsid w:val="00795DD2"/>
    <w:rsid w:val="007961A8"/>
    <w:rsid w:val="00797294"/>
    <w:rsid w:val="007A01F9"/>
    <w:rsid w:val="007A1014"/>
    <w:rsid w:val="007A2DC1"/>
    <w:rsid w:val="007B0E35"/>
    <w:rsid w:val="007B19CF"/>
    <w:rsid w:val="007B1FA9"/>
    <w:rsid w:val="007B3DB7"/>
    <w:rsid w:val="007B4786"/>
    <w:rsid w:val="007B4F73"/>
    <w:rsid w:val="007C792E"/>
    <w:rsid w:val="007D3319"/>
    <w:rsid w:val="007D335D"/>
    <w:rsid w:val="007D51B3"/>
    <w:rsid w:val="007D585A"/>
    <w:rsid w:val="007E18E5"/>
    <w:rsid w:val="007E2E07"/>
    <w:rsid w:val="007E3314"/>
    <w:rsid w:val="007E4B03"/>
    <w:rsid w:val="007E5F5E"/>
    <w:rsid w:val="007E6683"/>
    <w:rsid w:val="007F04EF"/>
    <w:rsid w:val="007F324B"/>
    <w:rsid w:val="007F69A5"/>
    <w:rsid w:val="007F6B07"/>
    <w:rsid w:val="007F7483"/>
    <w:rsid w:val="0080240E"/>
    <w:rsid w:val="00802FDE"/>
    <w:rsid w:val="0080482B"/>
    <w:rsid w:val="0080553C"/>
    <w:rsid w:val="00805B46"/>
    <w:rsid w:val="00805DC6"/>
    <w:rsid w:val="00806869"/>
    <w:rsid w:val="008167A7"/>
    <w:rsid w:val="00816EE2"/>
    <w:rsid w:val="00824894"/>
    <w:rsid w:val="008254DD"/>
    <w:rsid w:val="00825DC2"/>
    <w:rsid w:val="00832E37"/>
    <w:rsid w:val="00833823"/>
    <w:rsid w:val="00833F80"/>
    <w:rsid w:val="00834AD3"/>
    <w:rsid w:val="008359A7"/>
    <w:rsid w:val="00843795"/>
    <w:rsid w:val="008450AB"/>
    <w:rsid w:val="00846059"/>
    <w:rsid w:val="0084691F"/>
    <w:rsid w:val="00847A2B"/>
    <w:rsid w:val="00847F0F"/>
    <w:rsid w:val="0085095B"/>
    <w:rsid w:val="00852448"/>
    <w:rsid w:val="00852DC6"/>
    <w:rsid w:val="00853635"/>
    <w:rsid w:val="008538E3"/>
    <w:rsid w:val="00870E2D"/>
    <w:rsid w:val="00871300"/>
    <w:rsid w:val="00873A94"/>
    <w:rsid w:val="00874132"/>
    <w:rsid w:val="00876A0A"/>
    <w:rsid w:val="00881C86"/>
    <w:rsid w:val="0088258A"/>
    <w:rsid w:val="00882FBF"/>
    <w:rsid w:val="008833DF"/>
    <w:rsid w:val="00886332"/>
    <w:rsid w:val="008866CC"/>
    <w:rsid w:val="00892855"/>
    <w:rsid w:val="00897D51"/>
    <w:rsid w:val="008A26D9"/>
    <w:rsid w:val="008A29D6"/>
    <w:rsid w:val="008A3599"/>
    <w:rsid w:val="008A396E"/>
    <w:rsid w:val="008B050C"/>
    <w:rsid w:val="008B1B4A"/>
    <w:rsid w:val="008B2F34"/>
    <w:rsid w:val="008B32B1"/>
    <w:rsid w:val="008B3CA0"/>
    <w:rsid w:val="008B6D3E"/>
    <w:rsid w:val="008C0C29"/>
    <w:rsid w:val="008D053E"/>
    <w:rsid w:val="008D09F3"/>
    <w:rsid w:val="008D2074"/>
    <w:rsid w:val="008D6BDA"/>
    <w:rsid w:val="008E045C"/>
    <w:rsid w:val="008E6225"/>
    <w:rsid w:val="008F06DF"/>
    <w:rsid w:val="008F13E3"/>
    <w:rsid w:val="008F1915"/>
    <w:rsid w:val="008F3638"/>
    <w:rsid w:val="008F6A8E"/>
    <w:rsid w:val="008F6F31"/>
    <w:rsid w:val="008F74DF"/>
    <w:rsid w:val="008F7533"/>
    <w:rsid w:val="00902BF6"/>
    <w:rsid w:val="00907CCC"/>
    <w:rsid w:val="009127BA"/>
    <w:rsid w:val="00913F92"/>
    <w:rsid w:val="00915193"/>
    <w:rsid w:val="00916ECA"/>
    <w:rsid w:val="009170F3"/>
    <w:rsid w:val="00921240"/>
    <w:rsid w:val="00922794"/>
    <w:rsid w:val="009227A6"/>
    <w:rsid w:val="009249D6"/>
    <w:rsid w:val="009301B3"/>
    <w:rsid w:val="00931AE5"/>
    <w:rsid w:val="0093209A"/>
    <w:rsid w:val="00933EC1"/>
    <w:rsid w:val="0093694C"/>
    <w:rsid w:val="00941D29"/>
    <w:rsid w:val="009530DB"/>
    <w:rsid w:val="00953676"/>
    <w:rsid w:val="00960A9C"/>
    <w:rsid w:val="00960BE4"/>
    <w:rsid w:val="00963563"/>
    <w:rsid w:val="009635A8"/>
    <w:rsid w:val="009705EE"/>
    <w:rsid w:val="0097328B"/>
    <w:rsid w:val="00974591"/>
    <w:rsid w:val="00976DE6"/>
    <w:rsid w:val="00977927"/>
    <w:rsid w:val="0098135C"/>
    <w:rsid w:val="0098156A"/>
    <w:rsid w:val="00991BAC"/>
    <w:rsid w:val="009A3BF0"/>
    <w:rsid w:val="009A480B"/>
    <w:rsid w:val="009A6EA0"/>
    <w:rsid w:val="009B39CE"/>
    <w:rsid w:val="009B3F7D"/>
    <w:rsid w:val="009B48DD"/>
    <w:rsid w:val="009B7919"/>
    <w:rsid w:val="009C0CCF"/>
    <w:rsid w:val="009C1335"/>
    <w:rsid w:val="009C1AB2"/>
    <w:rsid w:val="009C32E5"/>
    <w:rsid w:val="009C7251"/>
    <w:rsid w:val="009E0D29"/>
    <w:rsid w:val="009E2157"/>
    <w:rsid w:val="009E2E91"/>
    <w:rsid w:val="009E4EFA"/>
    <w:rsid w:val="00A0061A"/>
    <w:rsid w:val="00A04304"/>
    <w:rsid w:val="00A0464D"/>
    <w:rsid w:val="00A06C38"/>
    <w:rsid w:val="00A07F6D"/>
    <w:rsid w:val="00A10589"/>
    <w:rsid w:val="00A139F5"/>
    <w:rsid w:val="00A20E9E"/>
    <w:rsid w:val="00A20F36"/>
    <w:rsid w:val="00A225A9"/>
    <w:rsid w:val="00A24879"/>
    <w:rsid w:val="00A25AB4"/>
    <w:rsid w:val="00A27102"/>
    <w:rsid w:val="00A33A46"/>
    <w:rsid w:val="00A365F4"/>
    <w:rsid w:val="00A4333F"/>
    <w:rsid w:val="00A444E9"/>
    <w:rsid w:val="00A4469F"/>
    <w:rsid w:val="00A47D80"/>
    <w:rsid w:val="00A506F1"/>
    <w:rsid w:val="00A519B5"/>
    <w:rsid w:val="00A53132"/>
    <w:rsid w:val="00A5450E"/>
    <w:rsid w:val="00A563F2"/>
    <w:rsid w:val="00A566E8"/>
    <w:rsid w:val="00A61254"/>
    <w:rsid w:val="00A76762"/>
    <w:rsid w:val="00A810F9"/>
    <w:rsid w:val="00A8668F"/>
    <w:rsid w:val="00A86ECC"/>
    <w:rsid w:val="00A86FCC"/>
    <w:rsid w:val="00A87939"/>
    <w:rsid w:val="00A9154E"/>
    <w:rsid w:val="00A92A6F"/>
    <w:rsid w:val="00A92C80"/>
    <w:rsid w:val="00A97DCC"/>
    <w:rsid w:val="00AA3EB6"/>
    <w:rsid w:val="00AA4ACE"/>
    <w:rsid w:val="00AA710D"/>
    <w:rsid w:val="00AB6D25"/>
    <w:rsid w:val="00AD17D4"/>
    <w:rsid w:val="00AD4C32"/>
    <w:rsid w:val="00AE2D4B"/>
    <w:rsid w:val="00AE3FB3"/>
    <w:rsid w:val="00AE4F99"/>
    <w:rsid w:val="00AE6E8E"/>
    <w:rsid w:val="00AF19C9"/>
    <w:rsid w:val="00AF5E9C"/>
    <w:rsid w:val="00AF7A4E"/>
    <w:rsid w:val="00B05B2E"/>
    <w:rsid w:val="00B11C79"/>
    <w:rsid w:val="00B135CB"/>
    <w:rsid w:val="00B14936"/>
    <w:rsid w:val="00B14952"/>
    <w:rsid w:val="00B15EA1"/>
    <w:rsid w:val="00B1618F"/>
    <w:rsid w:val="00B17525"/>
    <w:rsid w:val="00B25A73"/>
    <w:rsid w:val="00B267B0"/>
    <w:rsid w:val="00B31E5A"/>
    <w:rsid w:val="00B32DF7"/>
    <w:rsid w:val="00B35061"/>
    <w:rsid w:val="00B407D3"/>
    <w:rsid w:val="00B42455"/>
    <w:rsid w:val="00B45219"/>
    <w:rsid w:val="00B5405F"/>
    <w:rsid w:val="00B57B4F"/>
    <w:rsid w:val="00B653AB"/>
    <w:rsid w:val="00B65F9E"/>
    <w:rsid w:val="00B66B19"/>
    <w:rsid w:val="00B677B3"/>
    <w:rsid w:val="00B75532"/>
    <w:rsid w:val="00B76621"/>
    <w:rsid w:val="00B81852"/>
    <w:rsid w:val="00B82EB4"/>
    <w:rsid w:val="00B87A5A"/>
    <w:rsid w:val="00B914E9"/>
    <w:rsid w:val="00B92FD4"/>
    <w:rsid w:val="00B9356F"/>
    <w:rsid w:val="00B935E9"/>
    <w:rsid w:val="00B956EE"/>
    <w:rsid w:val="00B95A49"/>
    <w:rsid w:val="00B96AD0"/>
    <w:rsid w:val="00BA2BA1"/>
    <w:rsid w:val="00BA31CD"/>
    <w:rsid w:val="00BB4F09"/>
    <w:rsid w:val="00BB50B6"/>
    <w:rsid w:val="00BB77D5"/>
    <w:rsid w:val="00BC2340"/>
    <w:rsid w:val="00BD2577"/>
    <w:rsid w:val="00BD31C8"/>
    <w:rsid w:val="00BD4E33"/>
    <w:rsid w:val="00BD53EE"/>
    <w:rsid w:val="00BD6DC0"/>
    <w:rsid w:val="00BD7792"/>
    <w:rsid w:val="00BE58EB"/>
    <w:rsid w:val="00BE6548"/>
    <w:rsid w:val="00BE7B58"/>
    <w:rsid w:val="00BF06D8"/>
    <w:rsid w:val="00BF5A69"/>
    <w:rsid w:val="00C030DE"/>
    <w:rsid w:val="00C12D05"/>
    <w:rsid w:val="00C168D4"/>
    <w:rsid w:val="00C207FF"/>
    <w:rsid w:val="00C22105"/>
    <w:rsid w:val="00C230EE"/>
    <w:rsid w:val="00C244B6"/>
    <w:rsid w:val="00C27E88"/>
    <w:rsid w:val="00C30AC7"/>
    <w:rsid w:val="00C34DFE"/>
    <w:rsid w:val="00C367B9"/>
    <w:rsid w:val="00C3702F"/>
    <w:rsid w:val="00C4118F"/>
    <w:rsid w:val="00C46C64"/>
    <w:rsid w:val="00C477D5"/>
    <w:rsid w:val="00C47820"/>
    <w:rsid w:val="00C55EA2"/>
    <w:rsid w:val="00C579F3"/>
    <w:rsid w:val="00C64A37"/>
    <w:rsid w:val="00C6613D"/>
    <w:rsid w:val="00C7083D"/>
    <w:rsid w:val="00C7158E"/>
    <w:rsid w:val="00C7250B"/>
    <w:rsid w:val="00C72701"/>
    <w:rsid w:val="00C727AB"/>
    <w:rsid w:val="00C7346B"/>
    <w:rsid w:val="00C769EB"/>
    <w:rsid w:val="00C76B2F"/>
    <w:rsid w:val="00C77A62"/>
    <w:rsid w:val="00C77C0E"/>
    <w:rsid w:val="00C81E05"/>
    <w:rsid w:val="00C91258"/>
    <w:rsid w:val="00C91687"/>
    <w:rsid w:val="00C924A8"/>
    <w:rsid w:val="00C945FE"/>
    <w:rsid w:val="00C96FAA"/>
    <w:rsid w:val="00C97596"/>
    <w:rsid w:val="00C97A04"/>
    <w:rsid w:val="00CA107B"/>
    <w:rsid w:val="00CA2DC0"/>
    <w:rsid w:val="00CA484D"/>
    <w:rsid w:val="00CA56E2"/>
    <w:rsid w:val="00CB1714"/>
    <w:rsid w:val="00CB2E97"/>
    <w:rsid w:val="00CB77FC"/>
    <w:rsid w:val="00CC0A96"/>
    <w:rsid w:val="00CC1C7C"/>
    <w:rsid w:val="00CC3119"/>
    <w:rsid w:val="00CC3D49"/>
    <w:rsid w:val="00CC5399"/>
    <w:rsid w:val="00CC739E"/>
    <w:rsid w:val="00CD07B6"/>
    <w:rsid w:val="00CD19A6"/>
    <w:rsid w:val="00CD58B7"/>
    <w:rsid w:val="00CE3A47"/>
    <w:rsid w:val="00CF0172"/>
    <w:rsid w:val="00CF0937"/>
    <w:rsid w:val="00CF4099"/>
    <w:rsid w:val="00CF58C8"/>
    <w:rsid w:val="00CF6575"/>
    <w:rsid w:val="00D00796"/>
    <w:rsid w:val="00D110E3"/>
    <w:rsid w:val="00D1198D"/>
    <w:rsid w:val="00D13E4D"/>
    <w:rsid w:val="00D23C58"/>
    <w:rsid w:val="00D2614A"/>
    <w:rsid w:val="00D261A2"/>
    <w:rsid w:val="00D326B3"/>
    <w:rsid w:val="00D34DB9"/>
    <w:rsid w:val="00D40EE5"/>
    <w:rsid w:val="00D41E92"/>
    <w:rsid w:val="00D41F22"/>
    <w:rsid w:val="00D44740"/>
    <w:rsid w:val="00D45A80"/>
    <w:rsid w:val="00D52431"/>
    <w:rsid w:val="00D54994"/>
    <w:rsid w:val="00D569E3"/>
    <w:rsid w:val="00D6027A"/>
    <w:rsid w:val="00D611CB"/>
    <w:rsid w:val="00D616D2"/>
    <w:rsid w:val="00D63B5F"/>
    <w:rsid w:val="00D66632"/>
    <w:rsid w:val="00D70EF7"/>
    <w:rsid w:val="00D7204D"/>
    <w:rsid w:val="00D72420"/>
    <w:rsid w:val="00D732E9"/>
    <w:rsid w:val="00D75AC8"/>
    <w:rsid w:val="00D8397C"/>
    <w:rsid w:val="00D84674"/>
    <w:rsid w:val="00D909DE"/>
    <w:rsid w:val="00D9348C"/>
    <w:rsid w:val="00D94303"/>
    <w:rsid w:val="00D94370"/>
    <w:rsid w:val="00D944D5"/>
    <w:rsid w:val="00D94EED"/>
    <w:rsid w:val="00D96026"/>
    <w:rsid w:val="00DA6EA0"/>
    <w:rsid w:val="00DA7B02"/>
    <w:rsid w:val="00DA7C1C"/>
    <w:rsid w:val="00DB147A"/>
    <w:rsid w:val="00DB1B7A"/>
    <w:rsid w:val="00DB397E"/>
    <w:rsid w:val="00DB536E"/>
    <w:rsid w:val="00DB562E"/>
    <w:rsid w:val="00DC04FC"/>
    <w:rsid w:val="00DC4F14"/>
    <w:rsid w:val="00DC6708"/>
    <w:rsid w:val="00DD11D3"/>
    <w:rsid w:val="00DD581E"/>
    <w:rsid w:val="00DD6499"/>
    <w:rsid w:val="00DE526D"/>
    <w:rsid w:val="00DF0DB3"/>
    <w:rsid w:val="00DF18C1"/>
    <w:rsid w:val="00DF217B"/>
    <w:rsid w:val="00E01436"/>
    <w:rsid w:val="00E019E8"/>
    <w:rsid w:val="00E045BD"/>
    <w:rsid w:val="00E04DA7"/>
    <w:rsid w:val="00E0590E"/>
    <w:rsid w:val="00E05D9B"/>
    <w:rsid w:val="00E17B77"/>
    <w:rsid w:val="00E20016"/>
    <w:rsid w:val="00E20A2F"/>
    <w:rsid w:val="00E2320E"/>
    <w:rsid w:val="00E23337"/>
    <w:rsid w:val="00E259EA"/>
    <w:rsid w:val="00E27C44"/>
    <w:rsid w:val="00E27E57"/>
    <w:rsid w:val="00E30E0C"/>
    <w:rsid w:val="00E32061"/>
    <w:rsid w:val="00E35326"/>
    <w:rsid w:val="00E358B8"/>
    <w:rsid w:val="00E36CA6"/>
    <w:rsid w:val="00E41755"/>
    <w:rsid w:val="00E42FF9"/>
    <w:rsid w:val="00E440D3"/>
    <w:rsid w:val="00E44115"/>
    <w:rsid w:val="00E46149"/>
    <w:rsid w:val="00E46A0F"/>
    <w:rsid w:val="00E4714C"/>
    <w:rsid w:val="00E47D3C"/>
    <w:rsid w:val="00E50E6D"/>
    <w:rsid w:val="00E51AEB"/>
    <w:rsid w:val="00E522A7"/>
    <w:rsid w:val="00E52BE5"/>
    <w:rsid w:val="00E54452"/>
    <w:rsid w:val="00E608B4"/>
    <w:rsid w:val="00E641D0"/>
    <w:rsid w:val="00E64644"/>
    <w:rsid w:val="00E65AD8"/>
    <w:rsid w:val="00E664C5"/>
    <w:rsid w:val="00E671A2"/>
    <w:rsid w:val="00E67A9D"/>
    <w:rsid w:val="00E71A71"/>
    <w:rsid w:val="00E74EFD"/>
    <w:rsid w:val="00E76D26"/>
    <w:rsid w:val="00E77CA0"/>
    <w:rsid w:val="00E82417"/>
    <w:rsid w:val="00E839A3"/>
    <w:rsid w:val="00E92C50"/>
    <w:rsid w:val="00E933C8"/>
    <w:rsid w:val="00E94640"/>
    <w:rsid w:val="00E9796C"/>
    <w:rsid w:val="00EA08FC"/>
    <w:rsid w:val="00EA66F1"/>
    <w:rsid w:val="00EA7720"/>
    <w:rsid w:val="00EB1390"/>
    <w:rsid w:val="00EB2C71"/>
    <w:rsid w:val="00EB4340"/>
    <w:rsid w:val="00EB556D"/>
    <w:rsid w:val="00EB5A7D"/>
    <w:rsid w:val="00EC41E1"/>
    <w:rsid w:val="00EC4857"/>
    <w:rsid w:val="00ED162C"/>
    <w:rsid w:val="00ED190D"/>
    <w:rsid w:val="00ED3946"/>
    <w:rsid w:val="00ED55C0"/>
    <w:rsid w:val="00ED682B"/>
    <w:rsid w:val="00ED6887"/>
    <w:rsid w:val="00ED7F24"/>
    <w:rsid w:val="00EE104A"/>
    <w:rsid w:val="00EE41D5"/>
    <w:rsid w:val="00EE747D"/>
    <w:rsid w:val="00EF0084"/>
    <w:rsid w:val="00EF0EFB"/>
    <w:rsid w:val="00EF2747"/>
    <w:rsid w:val="00F02688"/>
    <w:rsid w:val="00F037A4"/>
    <w:rsid w:val="00F10DEB"/>
    <w:rsid w:val="00F11A4E"/>
    <w:rsid w:val="00F135F5"/>
    <w:rsid w:val="00F141C5"/>
    <w:rsid w:val="00F21E25"/>
    <w:rsid w:val="00F279C1"/>
    <w:rsid w:val="00F27C8F"/>
    <w:rsid w:val="00F32749"/>
    <w:rsid w:val="00F35B03"/>
    <w:rsid w:val="00F3689B"/>
    <w:rsid w:val="00F36FBC"/>
    <w:rsid w:val="00F37172"/>
    <w:rsid w:val="00F428FB"/>
    <w:rsid w:val="00F4477E"/>
    <w:rsid w:val="00F56387"/>
    <w:rsid w:val="00F564AF"/>
    <w:rsid w:val="00F6158E"/>
    <w:rsid w:val="00F63CF6"/>
    <w:rsid w:val="00F64547"/>
    <w:rsid w:val="00F64AC1"/>
    <w:rsid w:val="00F65B96"/>
    <w:rsid w:val="00F67D8F"/>
    <w:rsid w:val="00F72D50"/>
    <w:rsid w:val="00F76881"/>
    <w:rsid w:val="00F802BE"/>
    <w:rsid w:val="00F86024"/>
    <w:rsid w:val="00F8611A"/>
    <w:rsid w:val="00F8742E"/>
    <w:rsid w:val="00F93B0D"/>
    <w:rsid w:val="00F9784B"/>
    <w:rsid w:val="00FA5128"/>
    <w:rsid w:val="00FA544B"/>
    <w:rsid w:val="00FA6130"/>
    <w:rsid w:val="00FB42D4"/>
    <w:rsid w:val="00FB5906"/>
    <w:rsid w:val="00FB762F"/>
    <w:rsid w:val="00FC19E8"/>
    <w:rsid w:val="00FC2AED"/>
    <w:rsid w:val="00FC3D6D"/>
    <w:rsid w:val="00FD4A9C"/>
    <w:rsid w:val="00FD5EA7"/>
    <w:rsid w:val="00FE51A2"/>
    <w:rsid w:val="00FE6CB4"/>
    <w:rsid w:val="00FF147C"/>
    <w:rsid w:val="00FF45E1"/>
    <w:rsid w:val="00FF4E3F"/>
    <w:rsid w:val="00FF74E1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5F08DB01-66BD-4E2A-B46A-6C7560A1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 Light" w:eastAsia="Fira Sans Light" w:hAnsi="Fira Sans Light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uiPriority w:val="99"/>
    <w:qFormat/>
    <w:rsid w:val="00633014"/>
    <w:pPr>
      <w:keepNext/>
      <w:spacing w:before="240" w:line="240" w:lineRule="auto"/>
      <w:outlineLvl w:val="0"/>
    </w:pPr>
    <w:rPr>
      <w:rFonts w:ascii="Fira Sans SemiBold" w:hAnsi="Fira Sans SemiBold"/>
      <w:bCs/>
      <w:color w:val="001D77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2DC1"/>
    <w:pPr>
      <w:keepNext/>
      <w:keepLines/>
      <w:spacing w:before="40" w:after="0"/>
      <w:outlineLvl w:val="1"/>
    </w:pPr>
    <w:rPr>
      <w:rFonts w:ascii="Fira Sans Medium" w:hAnsi="Fira Sans Medium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2DC1"/>
    <w:pPr>
      <w:keepNext/>
      <w:keepLines/>
      <w:spacing w:before="40" w:after="0"/>
      <w:outlineLvl w:val="2"/>
    </w:pPr>
    <w:rPr>
      <w:rFonts w:ascii="Fira Sans Medium" w:hAnsi="Fira Sans Medium"/>
      <w:color w:val="1F4D78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395"/>
    <w:pPr>
      <w:keepNext/>
      <w:keepLines/>
      <w:spacing w:before="40" w:after="0"/>
      <w:outlineLvl w:val="3"/>
    </w:pPr>
    <w:rPr>
      <w:rFonts w:ascii="Fira Sans Medium" w:hAnsi="Fira Sans Medium"/>
      <w:i/>
      <w:iCs/>
      <w:color w:val="2E74B5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A2DC1"/>
    <w:pPr>
      <w:keepNext/>
      <w:keepLines/>
      <w:spacing w:before="40" w:after="0"/>
      <w:outlineLvl w:val="4"/>
    </w:pPr>
    <w:rPr>
      <w:rFonts w:ascii="Fira Sans Medium" w:hAnsi="Fira Sans Medium"/>
      <w:color w:val="2E74B5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2DC1"/>
    <w:pPr>
      <w:keepNext/>
      <w:keepLines/>
      <w:spacing w:before="40" w:after="0"/>
      <w:outlineLvl w:val="7"/>
    </w:pPr>
    <w:rPr>
      <w:rFonts w:ascii="Fira Sans Medium" w:hAnsi="Fira Sans Medium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2DC1"/>
    <w:pPr>
      <w:keepNext/>
      <w:keepLines/>
      <w:spacing w:before="40" w:after="0"/>
      <w:outlineLvl w:val="8"/>
    </w:pPr>
    <w:rPr>
      <w:rFonts w:ascii="Fira Sans Medium" w:hAnsi="Fira Sans Medium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uiPriority w:val="99"/>
    <w:locked/>
    <w:rsid w:val="00633014"/>
    <w:rPr>
      <w:rFonts w:ascii="Fira Sans SemiBold" w:hAnsi="Fira Sans SemiBold"/>
      <w:color w:val="001D77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2DC1"/>
    <w:rPr>
      <w:rFonts w:ascii="Fira Sans Medium" w:hAnsi="Fira Sans Medium"/>
      <w:color w:val="2E74B5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A2DC1"/>
    <w:rPr>
      <w:rFonts w:ascii="Fira Sans Medium" w:hAnsi="Fira Sans Medium"/>
      <w:color w:val="1F4D78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37395"/>
    <w:rPr>
      <w:rFonts w:ascii="Fira Sans Medium" w:hAnsi="Fira Sans Medium"/>
      <w:i/>
      <w:color w:val="2E74B5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A2DC1"/>
    <w:rPr>
      <w:rFonts w:ascii="Fira Sans Medium" w:hAnsi="Fira Sans Medium"/>
      <w:color w:val="2E74B5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A2DC1"/>
    <w:rPr>
      <w:rFonts w:ascii="Fira Sans Medium" w:hAnsi="Fira Sans Medium"/>
      <w:color w:val="272727"/>
      <w:sz w:val="21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A2DC1"/>
    <w:rPr>
      <w:rFonts w:ascii="Fira Sans Medium" w:hAnsi="Fira Sans Medium"/>
      <w:i/>
      <w:color w:val="272727"/>
      <w:sz w:val="21"/>
    </w:rPr>
  </w:style>
  <w:style w:type="paragraph" w:customStyle="1" w:styleId="LID">
    <w:name w:val="LID"/>
    <w:basedOn w:val="Normalny"/>
    <w:uiPriority w:val="99"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uiPriority w:val="99"/>
    <w:rsid w:val="007A2DC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jasna1">
    <w:name w:val="Siatka tabeli — jasna1"/>
    <w:uiPriority w:val="99"/>
    <w:rsid w:val="007A2DC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F324B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324B"/>
    <w:rPr>
      <w:rFonts w:ascii="Segoe UI" w:hAnsi="Segoe UI"/>
      <w:sz w:val="18"/>
    </w:rPr>
  </w:style>
  <w:style w:type="table" w:styleId="Tabela-Siatka">
    <w:name w:val="Table Grid"/>
    <w:basedOn w:val="Standardowy"/>
    <w:uiPriority w:val="99"/>
    <w:rsid w:val="009C1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5203F1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662E2"/>
  </w:style>
  <w:style w:type="paragraph" w:styleId="Stopka">
    <w:name w:val="footer"/>
    <w:basedOn w:val="Normalny"/>
    <w:link w:val="Stopka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662E2"/>
  </w:style>
  <w:style w:type="paragraph" w:styleId="Akapitzlist">
    <w:name w:val="List Paragraph"/>
    <w:basedOn w:val="Normalny"/>
    <w:uiPriority w:val="99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448A7"/>
    <w:pPr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448A7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1448A7"/>
    <w:rPr>
      <w:rFonts w:cs="Times New Roman"/>
      <w:vertAlign w:val="superscript"/>
    </w:rPr>
  </w:style>
  <w:style w:type="paragraph" w:customStyle="1" w:styleId="tytuinformacji">
    <w:name w:val="tytuł informacji"/>
    <w:basedOn w:val="Normalny"/>
    <w:uiPriority w:val="99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uiPriority w:val="99"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uiPriority w:val="99"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uiPriority w:val="99"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uiPriority w:val="99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3B6350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yperlink" Target="mailto:J.Kobylarz@stat.gov.pl" TargetMode="External"/><Relationship Id="rId26" Type="http://schemas.openxmlformats.org/officeDocument/2006/relationships/hyperlink" Target="https://bdl.stat.gov.pl/BDL/start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5" Type="http://schemas.openxmlformats.org/officeDocument/2006/relationships/hyperlink" Target="http://swaid.stat.gov.pl/SitePagesDBW/Budownictwo.aspx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metainformacje/slownik-pojec/pojecia-stosowane-w-statystyce-publicznej/3176,pojeci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24" Type="http://schemas.openxmlformats.org/officeDocument/2006/relationships/hyperlink" Target="http://stat.gov.pl/obszary-tematyczne/przemysl-budownictwo-srodki-trwale/budownictwo/budownictwo-wyniki-dzialalnosci-w-2016-r-,3,12.html" TargetMode="External"/><Relationship Id="rId32" Type="http://schemas.openxmlformats.org/officeDocument/2006/relationships/hyperlink" Target="http://stat.gov.pl/metainformacje/slownik-pojec/pojecia-stosowane-w-statystyce-publicznej/329,pojecie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2.png"/><Relationship Id="rId28" Type="http://schemas.openxmlformats.org/officeDocument/2006/relationships/hyperlink" Target="http://stat.gov.pl/metainformacje/slownik-pojec/pojecia-stosowane-w-statystyce-publicznej/1021,pojecie.html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rzecznik@stat.gov.pl" TargetMode="External"/><Relationship Id="rId31" Type="http://schemas.openxmlformats.org/officeDocument/2006/relationships/hyperlink" Target="http://stat.gov.pl/metainformacje/slownik-pojec/pojecia-stosowane-w-statystyce-publicznej/1311,pojeci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header" Target="header1.xml"/><Relationship Id="rId22" Type="http://schemas.openxmlformats.org/officeDocument/2006/relationships/image" Target="media/image11.png"/><Relationship Id="rId27" Type="http://schemas.openxmlformats.org/officeDocument/2006/relationships/hyperlink" Target="http://stat.gov.pl/metainformacje/slownik-pojec/pojecia-stosowane-w-statystyce-publicznej/26,pojecie.html" TargetMode="External"/><Relationship Id="rId30" Type="http://schemas.openxmlformats.org/officeDocument/2006/relationships/hyperlink" Target="http://stat.gov.pl/metainformacje/slownik-pojec/pojecia-stosowane-w-statystyce-publicznej/1743,pojecie.html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2F8F-3108-4AC0-A8A9-77C59965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Zawistowska Beata</dc:creator>
  <cp:lastModifiedBy>Zawistowska Beata</cp:lastModifiedBy>
  <cp:revision>27</cp:revision>
  <cp:lastPrinted>2018-06-06T10:41:00Z</cp:lastPrinted>
  <dcterms:created xsi:type="dcterms:W3CDTF">2018-06-06T08:55:00Z</dcterms:created>
  <dcterms:modified xsi:type="dcterms:W3CDTF">2018-06-08T07:12:00Z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0x00FBEB7090D5ED8B4AADA9FC396769AC9B</vt:lpwstr>
  </property>
  <property fmtid="{D5CDD505-2E9C-101B-9397-08002B2CF9AE}" pid="3" name="TemplateUrl">
    <vt:lpwstr/>
  </property>
  <property fmtid="{D5CDD505-2E9C-101B-9397-08002B2CF9AE}" pid="4" name="Odbiorcy2">
    <vt:lpwstr/>
  </property>
  <property fmtid="{D5CDD505-2E9C-101B-9397-08002B2CF9AE}" pid="5" name="Osoba">
    <vt:lpwstr>STAT\MIETKOWSKAM</vt:lpwstr>
  </property>
  <property fmtid="{D5CDD505-2E9C-101B-9397-08002B2CF9AE}" pid="6" name="_SourceUrl">
    <vt:lpwstr/>
  </property>
  <property fmtid="{D5CDD505-2E9C-101B-9397-08002B2CF9AE}" pid="7" name="NazwaPliku">
    <vt:lpwstr>Informacja sygnalna_przykładowa wizualizacja.docx.docx</vt:lpwstr>
  </property>
  <property fmtid="{D5CDD505-2E9C-101B-9397-08002B2CF9AE}" pid="8" name="xd_ProgID">
    <vt:lpwstr/>
  </property>
  <property fmtid="{D5CDD505-2E9C-101B-9397-08002B2CF9AE}" pid="9" name="Order">
    <vt:lpwstr/>
  </property>
  <property fmtid="{D5CDD505-2E9C-101B-9397-08002B2CF9AE}" pid="10" name="MetaInfo">
    <vt:lpwstr/>
  </property>
</Properties>
</file>