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6333"/>
      </w:tblGrid>
      <w:tr w:rsidR="002263CE" w:rsidTr="00A07369">
        <w:tc>
          <w:tcPr>
            <w:tcW w:w="1146" w:type="dxa"/>
          </w:tcPr>
          <w:p w:rsidR="002263CE" w:rsidRDefault="00E34F80">
            <w:r>
              <w:t xml:space="preserve"> </w:t>
            </w:r>
            <w:r w:rsidR="00D33F28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263CE">
              <w:rPr>
                <w:noProof/>
              </w:rPr>
              <w:drawing>
                <wp:inline distT="0" distB="0" distL="0" distR="0">
                  <wp:extent cx="590550" cy="495300"/>
                  <wp:effectExtent l="0" t="0" r="0" b="0"/>
                  <wp:docPr id="1" name="Obraz 1" descr="G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3" w:type="dxa"/>
          </w:tcPr>
          <w:p w:rsidR="000410C4" w:rsidRDefault="00351B74" w:rsidP="006C417A">
            <w:pPr>
              <w:spacing w:before="120"/>
              <w:ind w:left="-12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51B74">
              <w:rPr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253.55pt;margin-top:1.45pt;width:189.35pt;height:42.9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" stroked="f" strokecolor="#4f81bd [3204]">
                  <v:stroke dashstyle="3 1"/>
                  <v:textbox>
                    <w:txbxContent>
                      <w:p w:rsidR="0092588B" w:rsidRPr="00726221" w:rsidRDefault="0092588B" w:rsidP="002263CE">
                        <w:pPr>
                          <w:jc w:val="right"/>
                          <w:rPr>
                            <w:sz w:val="28"/>
                          </w:rPr>
                        </w:pPr>
                        <w:r w:rsidRPr="00732B0E">
                          <w:rPr>
                            <w:sz w:val="24"/>
                            <w:szCs w:val="24"/>
                          </w:rPr>
                          <w:t xml:space="preserve">Warszawa,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 w:rsidR="00821708">
                          <w:rPr>
                            <w:sz w:val="24"/>
                            <w:szCs w:val="24"/>
                          </w:rPr>
                          <w:t>20</w:t>
                        </w:r>
                        <w:r w:rsidRPr="00732B0E">
                          <w:rPr>
                            <w:sz w:val="24"/>
                            <w:szCs w:val="24"/>
                          </w:rPr>
                          <w:t>.</w:t>
                        </w:r>
                        <w:r w:rsidR="00517F59">
                          <w:rPr>
                            <w:sz w:val="24"/>
                            <w:szCs w:val="24"/>
                          </w:rPr>
                          <w:t>1</w:t>
                        </w:r>
                        <w:r w:rsidR="00821708">
                          <w:rPr>
                            <w:sz w:val="24"/>
                            <w:szCs w:val="24"/>
                          </w:rPr>
                          <w:t>1</w:t>
                        </w:r>
                        <w:r w:rsidRPr="00732B0E">
                          <w:rPr>
                            <w:sz w:val="24"/>
                            <w:szCs w:val="24"/>
                          </w:rPr>
                          <w:t>.201</w:t>
                        </w: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2263CE" w:rsidRPr="00732B0E">
              <w:rPr>
                <w:rFonts w:cs="Arial"/>
                <w:b/>
                <w:sz w:val="32"/>
                <w:szCs w:val="32"/>
              </w:rPr>
              <w:t>GŁÓWNY URZĄD STA</w:t>
            </w:r>
            <w:r w:rsidR="002263CE" w:rsidRPr="00910D17">
              <w:rPr>
                <w:rFonts w:ascii="Arial" w:hAnsi="Arial" w:cs="Arial"/>
                <w:b/>
                <w:sz w:val="28"/>
                <w:szCs w:val="28"/>
              </w:rPr>
              <w:t>TYSTYCZNY</w:t>
            </w:r>
          </w:p>
          <w:p w:rsidR="000410C4" w:rsidRPr="00732B0E" w:rsidRDefault="002263CE" w:rsidP="00A07369">
            <w:pPr>
              <w:spacing w:before="120"/>
              <w:ind w:left="-125"/>
              <w:jc w:val="both"/>
              <w:rPr>
                <w:sz w:val="28"/>
                <w:szCs w:val="28"/>
              </w:rPr>
            </w:pPr>
            <w:r w:rsidRPr="00910D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410C4" w:rsidRPr="00732B0E">
              <w:rPr>
                <w:sz w:val="28"/>
                <w:szCs w:val="28"/>
              </w:rPr>
              <w:t>Opracowanie sygnalne</w:t>
            </w:r>
          </w:p>
        </w:tc>
      </w:tr>
    </w:tbl>
    <w:p w:rsidR="00D63E86" w:rsidRDefault="00351B74">
      <w:r>
        <w:rPr>
          <w:noProof/>
        </w:rPr>
        <w:pict>
          <v:shape id="_x0000_s1027" type="#_x0000_t202" style="position:absolute;margin-left:0;margin-top:12.75pt;width:501pt;height:51.55pt;z-index:251659264;visibility:visible;mso-position-horizontal:center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" stroked="f" strokecolor="#4f81bd [3204]">
            <v:stroke dashstyle="3 1"/>
            <v:textbox>
              <w:txbxContent>
                <w:p w:rsidR="0092588B" w:rsidRPr="00732B0E" w:rsidRDefault="0092588B" w:rsidP="002716A8">
                  <w:pPr>
                    <w:spacing w:after="0"/>
                    <w:jc w:val="center"/>
                    <w:rPr>
                      <w:i/>
                      <w:sz w:val="32"/>
                      <w:szCs w:val="32"/>
                    </w:rPr>
                  </w:pPr>
                  <w:r w:rsidRPr="00732B0E">
                    <w:rPr>
                      <w:b/>
                      <w:sz w:val="32"/>
                      <w:szCs w:val="32"/>
                    </w:rPr>
                    <w:t xml:space="preserve">Budownictwo </w:t>
                  </w:r>
                  <w:proofErr w:type="spellStart"/>
                  <w:r w:rsidRPr="00732B0E">
                    <w:rPr>
                      <w:b/>
                      <w:sz w:val="32"/>
                      <w:szCs w:val="32"/>
                    </w:rPr>
                    <w:t>mieszkaniowe</w:t>
                  </w:r>
                  <w:r w:rsidRPr="00732B0E">
                    <w:rPr>
                      <w:b/>
                      <w:i/>
                      <w:sz w:val="32"/>
                      <w:szCs w:val="32"/>
                      <w:vertAlign w:val="superscript"/>
                    </w:rPr>
                    <w:t>a</w:t>
                  </w:r>
                  <w:proofErr w:type="spellEnd"/>
                  <w:r w:rsidRPr="00732B0E">
                    <w:rPr>
                      <w:b/>
                      <w:sz w:val="32"/>
                      <w:szCs w:val="32"/>
                      <w:vertAlign w:val="superscript"/>
                    </w:rPr>
                    <w:t xml:space="preserve">) </w:t>
                  </w:r>
                  <w:r w:rsidRPr="00732B0E">
                    <w:rPr>
                      <w:b/>
                      <w:sz w:val="32"/>
                      <w:szCs w:val="32"/>
                    </w:rPr>
                    <w:t xml:space="preserve"> w okresie I-</w:t>
                  </w:r>
                  <w:r w:rsidR="00517F59">
                    <w:rPr>
                      <w:b/>
                      <w:sz w:val="32"/>
                      <w:szCs w:val="32"/>
                    </w:rPr>
                    <w:t>X</w:t>
                  </w:r>
                  <w:r w:rsidRPr="00732B0E">
                    <w:rPr>
                      <w:b/>
                      <w:sz w:val="32"/>
                      <w:szCs w:val="32"/>
                    </w:rPr>
                    <w:t xml:space="preserve"> 201</w:t>
                  </w:r>
                  <w:r>
                    <w:rPr>
                      <w:b/>
                      <w:sz w:val="32"/>
                      <w:szCs w:val="32"/>
                    </w:rPr>
                    <w:t>7</w:t>
                  </w:r>
                  <w:r w:rsidRPr="00732B0E">
                    <w:rPr>
                      <w:b/>
                      <w:sz w:val="32"/>
                      <w:szCs w:val="32"/>
                    </w:rPr>
                    <w:t xml:space="preserve"> r.</w:t>
                  </w:r>
                </w:p>
                <w:p w:rsidR="0092588B" w:rsidRDefault="0092588B"/>
              </w:txbxContent>
            </v:textbox>
          </v:shape>
        </w:pict>
      </w:r>
    </w:p>
    <w:p w:rsidR="00670E4C" w:rsidRDefault="00351B74">
      <w:r>
        <w:rPr>
          <w:noProof/>
        </w:rPr>
        <w:pict>
          <v:shape id="_x0000_s1028" type="#_x0000_t202" style="position:absolute;margin-left:-16.55pt;margin-top:11.8pt;width:494.75pt;height:84.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" stroked="f" strokecolor="#4f81bd [3204]">
            <v:stroke dashstyle="3 1"/>
            <v:textbox style="mso-next-textbox:#_x0000_s1028">
              <w:txbxContent>
                <w:p w:rsidR="0092588B" w:rsidRPr="00C738BD" w:rsidRDefault="0092588B" w:rsidP="00C90EB1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732B0E">
                    <w:rPr>
                      <w:b/>
                      <w:sz w:val="28"/>
                      <w:szCs w:val="28"/>
                    </w:rPr>
                    <w:t xml:space="preserve">W </w:t>
                  </w:r>
                  <w:r>
                    <w:rPr>
                      <w:b/>
                      <w:sz w:val="28"/>
                      <w:szCs w:val="28"/>
                    </w:rPr>
                    <w:t xml:space="preserve">okresie </w:t>
                  </w:r>
                  <w:r w:rsidR="00517F59">
                    <w:rPr>
                      <w:b/>
                      <w:sz w:val="28"/>
                      <w:szCs w:val="28"/>
                    </w:rPr>
                    <w:t>dzie</w:t>
                  </w:r>
                  <w:r w:rsidR="00821708">
                    <w:rPr>
                      <w:b/>
                      <w:sz w:val="28"/>
                      <w:szCs w:val="28"/>
                    </w:rPr>
                    <w:t>się</w:t>
                  </w:r>
                  <w:r w:rsidR="00517F59">
                    <w:rPr>
                      <w:b/>
                      <w:sz w:val="28"/>
                      <w:szCs w:val="28"/>
                    </w:rPr>
                    <w:t>ciu</w:t>
                  </w:r>
                  <w:r>
                    <w:rPr>
                      <w:b/>
                      <w:sz w:val="28"/>
                      <w:szCs w:val="28"/>
                    </w:rPr>
                    <w:t xml:space="preserve"> miesięcy </w:t>
                  </w:r>
                  <w:r w:rsidRPr="00732B0E">
                    <w:rPr>
                      <w:b/>
                      <w:sz w:val="28"/>
                      <w:szCs w:val="28"/>
                    </w:rPr>
                    <w:t>201</w:t>
                  </w:r>
                  <w:r>
                    <w:rPr>
                      <w:b/>
                      <w:sz w:val="28"/>
                      <w:szCs w:val="28"/>
                    </w:rPr>
                    <w:t>7</w:t>
                  </w:r>
                  <w:r w:rsidRPr="00732B0E">
                    <w:rPr>
                      <w:b/>
                      <w:sz w:val="28"/>
                      <w:szCs w:val="28"/>
                    </w:rPr>
                    <w:t xml:space="preserve"> roku oddano do użytkowania </w:t>
                  </w:r>
                  <w:r w:rsidR="003B3DB4">
                    <w:rPr>
                      <w:b/>
                      <w:sz w:val="28"/>
                      <w:szCs w:val="28"/>
                    </w:rPr>
                    <w:t>więcej</w:t>
                  </w:r>
                  <w:r w:rsidRPr="00732B0E">
                    <w:rPr>
                      <w:b/>
                      <w:sz w:val="28"/>
                      <w:szCs w:val="28"/>
                    </w:rPr>
                    <w:t xml:space="preserve"> mieszkań niż przed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732B0E">
                    <w:rPr>
                      <w:b/>
                      <w:sz w:val="28"/>
                      <w:szCs w:val="28"/>
                    </w:rPr>
                    <w:t xml:space="preserve">rokiem. Wzrosła </w:t>
                  </w:r>
                  <w:r w:rsidR="003B3DB4">
                    <w:rPr>
                      <w:b/>
                      <w:sz w:val="28"/>
                      <w:szCs w:val="28"/>
                    </w:rPr>
                    <w:t>również</w:t>
                  </w:r>
                  <w:r w:rsidRPr="00732B0E">
                    <w:rPr>
                      <w:b/>
                      <w:sz w:val="28"/>
                      <w:szCs w:val="28"/>
                    </w:rPr>
                    <w:t xml:space="preserve"> liczba mieszkań, na któr</w:t>
                  </w:r>
                  <w:r>
                    <w:rPr>
                      <w:b/>
                      <w:sz w:val="28"/>
                      <w:szCs w:val="28"/>
                    </w:rPr>
                    <w:t xml:space="preserve">ych budowę </w:t>
                  </w:r>
                  <w:r w:rsidRPr="00732B0E">
                    <w:rPr>
                      <w:b/>
                      <w:sz w:val="28"/>
                      <w:szCs w:val="28"/>
                    </w:rPr>
                    <w:t>wydano pozwolenia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C738BD">
                    <w:rPr>
                      <w:b/>
                      <w:sz w:val="28"/>
                      <w:szCs w:val="28"/>
                    </w:rPr>
                    <w:t>lub dokonano zgłoszenia z projektem budowlanym i liczba mieszkań, których budowę rozpoczęto.</w:t>
                  </w:r>
                </w:p>
              </w:txbxContent>
            </v:textbox>
          </v:shape>
        </w:pict>
      </w:r>
    </w:p>
    <w:p w:rsidR="00670E4C" w:rsidRDefault="00670E4C"/>
    <w:p w:rsidR="00670E4C" w:rsidRDefault="00670E4C"/>
    <w:p w:rsidR="00670E4C" w:rsidRDefault="00351B74" w:rsidP="00670E4C">
      <w:r>
        <w:rPr>
          <w:noProof/>
        </w:rPr>
        <w:pict>
          <v:shape id="_x0000_s1029" type="#_x0000_t202" style="position:absolute;margin-left:-16.55pt;margin-top:15.95pt;width:500.9pt;height:596.4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" stroked="f" strokecolor="#4f81bd [3204]">
            <v:stroke dashstyle="3 1"/>
            <v:textbox style="mso-next-textbox:#_x0000_s1029">
              <w:txbxContent>
                <w:tbl>
                  <w:tblPr>
                    <w:tblW w:w="9706" w:type="dxa"/>
                    <w:jc w:val="center"/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018"/>
                    <w:gridCol w:w="1146"/>
                    <w:gridCol w:w="1490"/>
                    <w:gridCol w:w="1349"/>
                    <w:gridCol w:w="1261"/>
                    <w:gridCol w:w="1442"/>
                  </w:tblGrid>
                  <w:tr w:rsidR="0092588B" w:rsidRPr="003238E2" w:rsidTr="00455198">
                    <w:trPr>
                      <w:cantSplit/>
                      <w:jc w:val="center"/>
                    </w:trPr>
                    <w:tc>
                      <w:tcPr>
                        <w:tcW w:w="3018" w:type="dxa"/>
                        <w:tcBorders>
                          <w:top w:val="double" w:sz="6" w:space="0" w:color="auto"/>
                          <w:left w:val="double" w:sz="6" w:space="0" w:color="auto"/>
                          <w:right w:val="single" w:sz="6" w:space="0" w:color="auto"/>
                        </w:tcBorders>
                      </w:tcPr>
                      <w:p w:rsidR="0092588B" w:rsidRPr="00455034" w:rsidRDefault="0092588B" w:rsidP="00455034">
                        <w:pPr>
                          <w:pStyle w:val="Nagwek3"/>
                          <w:tabs>
                            <w:tab w:val="right" w:leader="dot" w:pos="2098"/>
                          </w:tabs>
                          <w:spacing w:line="240" w:lineRule="auto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688" w:type="dxa"/>
                        <w:gridSpan w:val="5"/>
                        <w:tcBorders>
                          <w:top w:val="double" w:sz="6" w:space="0" w:color="auto"/>
                          <w:left w:val="nil"/>
                          <w:right w:val="double" w:sz="6" w:space="0" w:color="auto"/>
                        </w:tcBorders>
                      </w:tcPr>
                      <w:p w:rsidR="0092588B" w:rsidRPr="00455034" w:rsidRDefault="0092588B" w:rsidP="00DB4A22">
                        <w:pPr>
                          <w:pStyle w:val="Nagwek3"/>
                          <w:tabs>
                            <w:tab w:val="right" w:leader="dot" w:pos="2098"/>
                          </w:tabs>
                          <w:spacing w:line="240" w:lineRule="auto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55034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201</w:t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92588B" w:rsidRPr="003238E2" w:rsidTr="00152210">
                    <w:trPr>
                      <w:cantSplit/>
                      <w:trHeight w:val="392"/>
                      <w:jc w:val="center"/>
                    </w:trPr>
                    <w:tc>
                      <w:tcPr>
                        <w:tcW w:w="3018" w:type="dxa"/>
                        <w:tcBorders>
                          <w:left w:val="double" w:sz="6" w:space="0" w:color="auto"/>
                          <w:right w:val="single" w:sz="6" w:space="0" w:color="auto"/>
                        </w:tcBorders>
                      </w:tcPr>
                      <w:p w:rsidR="0092588B" w:rsidRPr="00455034" w:rsidRDefault="0092588B" w:rsidP="00455034">
                        <w:pPr>
                          <w:pStyle w:val="Nagwek3"/>
                          <w:tabs>
                            <w:tab w:val="right" w:leader="dot" w:pos="2098"/>
                          </w:tabs>
                          <w:spacing w:line="240" w:lineRule="auto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55034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455034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Formy</w:t>
                        </w:r>
                        <w:proofErr w:type="spellEnd"/>
                        <w:r w:rsidRPr="00455034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85" w:type="dxa"/>
                        <w:gridSpan w:val="3"/>
                        <w:tcBorders>
                          <w:top w:val="single" w:sz="6" w:space="0" w:color="auto"/>
                          <w:left w:val="nil"/>
                          <w:right w:val="single" w:sz="6" w:space="0" w:color="auto"/>
                        </w:tcBorders>
                        <w:vAlign w:val="center"/>
                      </w:tcPr>
                      <w:p w:rsidR="0092588B" w:rsidRPr="00455034" w:rsidRDefault="00517F59" w:rsidP="00D14725">
                        <w:pPr>
                          <w:pStyle w:val="Nagwek3"/>
                          <w:tabs>
                            <w:tab w:val="right" w:leader="dot" w:pos="2098"/>
                          </w:tabs>
                          <w:spacing w:line="240" w:lineRule="auto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X</w:t>
                        </w:r>
                      </w:p>
                    </w:tc>
                    <w:tc>
                      <w:tcPr>
                        <w:tcW w:w="2703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uble" w:sz="6" w:space="0" w:color="auto"/>
                        </w:tcBorders>
                        <w:vAlign w:val="center"/>
                      </w:tcPr>
                      <w:p w:rsidR="0092588B" w:rsidRPr="00455034" w:rsidRDefault="0092588B" w:rsidP="0082170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55034">
                          <w:rPr>
                            <w:rFonts w:ascii="Times New Roman" w:hAnsi="Times New Roman" w:cs="Times New Roman"/>
                            <w:b/>
                          </w:rPr>
                          <w:t xml:space="preserve">I – </w:t>
                        </w:r>
                        <w:r w:rsidR="00517F59">
                          <w:rPr>
                            <w:rFonts w:ascii="Times New Roman" w:hAnsi="Times New Roman" w:cs="Times New Roman"/>
                            <w:b/>
                          </w:rPr>
                          <w:t>X</w:t>
                        </w:r>
                      </w:p>
                    </w:tc>
                  </w:tr>
                  <w:tr w:rsidR="0092588B" w:rsidRPr="003238E2" w:rsidTr="00455198">
                    <w:trPr>
                      <w:cantSplit/>
                      <w:jc w:val="center"/>
                    </w:trPr>
                    <w:tc>
                      <w:tcPr>
                        <w:tcW w:w="3018" w:type="dxa"/>
                        <w:tcBorders>
                          <w:left w:val="doub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92588B" w:rsidRPr="00455034" w:rsidRDefault="0092588B" w:rsidP="00455034">
                        <w:pPr>
                          <w:tabs>
                            <w:tab w:val="right" w:leader="dot" w:pos="2098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55034">
                          <w:rPr>
                            <w:rFonts w:ascii="Times New Roman" w:hAnsi="Times New Roman" w:cs="Times New Roman"/>
                            <w:b/>
                          </w:rPr>
                          <w:t>budownictwa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92588B" w:rsidRPr="00455034" w:rsidRDefault="0092588B" w:rsidP="0045503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55034">
                          <w:rPr>
                            <w:rFonts w:ascii="Times New Roman" w:hAnsi="Times New Roman" w:cs="Times New Roman"/>
                            <w:b/>
                          </w:rPr>
                          <w:t>liczba  mieszkań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92588B" w:rsidRPr="00455034" w:rsidRDefault="00517F59" w:rsidP="00D1472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X</w:t>
                        </w:r>
                        <w:r w:rsidR="0092588B" w:rsidRPr="00455034">
                          <w:rPr>
                            <w:rFonts w:ascii="Times New Roman" w:hAnsi="Times New Roman" w:cs="Times New Roman"/>
                            <w:b/>
                          </w:rPr>
                          <w:t xml:space="preserve">       201</w:t>
                        </w:r>
                        <w:r w:rsidR="0092588B">
                          <w:rPr>
                            <w:rFonts w:ascii="Times New Roman" w:hAnsi="Times New Roman" w:cs="Times New Roman"/>
                            <w:b/>
                          </w:rPr>
                          <w:t>6</w:t>
                        </w:r>
                        <w:r w:rsidR="0092588B" w:rsidRPr="00455034">
                          <w:rPr>
                            <w:rFonts w:ascii="Times New Roman" w:hAnsi="Times New Roman" w:cs="Times New Roman"/>
                            <w:b/>
                          </w:rPr>
                          <w:t>=100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92588B" w:rsidRPr="00455034" w:rsidRDefault="003259BA" w:rsidP="003123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I</w:t>
                        </w:r>
                        <w:r w:rsidR="00821708">
                          <w:rPr>
                            <w:rFonts w:ascii="Times New Roman" w:hAnsi="Times New Roman" w:cs="Times New Roman"/>
                            <w:b/>
                          </w:rPr>
                          <w:t>X</w:t>
                        </w:r>
                        <w:r w:rsidR="0092588B" w:rsidRPr="00455034">
                          <w:rPr>
                            <w:rFonts w:ascii="Times New Roman" w:hAnsi="Times New Roman" w:cs="Times New Roman"/>
                            <w:b/>
                          </w:rPr>
                          <w:t xml:space="preserve">                201</w:t>
                        </w:r>
                        <w:r w:rsidR="0092588B">
                          <w:rPr>
                            <w:rFonts w:ascii="Times New Roman" w:hAnsi="Times New Roman" w:cs="Times New Roman"/>
                            <w:b/>
                          </w:rPr>
                          <w:t>7</w:t>
                        </w:r>
                        <w:r w:rsidR="0092588B" w:rsidRPr="00455034">
                          <w:rPr>
                            <w:rFonts w:ascii="Times New Roman" w:hAnsi="Times New Roman" w:cs="Times New Roman"/>
                            <w:b/>
                          </w:rPr>
                          <w:t xml:space="preserve"> = 100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92588B" w:rsidRPr="00455034" w:rsidRDefault="0092588B" w:rsidP="0045503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55034">
                          <w:rPr>
                            <w:rFonts w:ascii="Times New Roman" w:hAnsi="Times New Roman" w:cs="Times New Roman"/>
                            <w:b/>
                          </w:rPr>
                          <w:t>liczba      mieszkań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double" w:sz="6" w:space="0" w:color="auto"/>
                        </w:tcBorders>
                      </w:tcPr>
                      <w:p w:rsidR="0092588B" w:rsidRPr="00455034" w:rsidRDefault="0092588B" w:rsidP="0082170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55034">
                          <w:rPr>
                            <w:rFonts w:ascii="Times New Roman" w:hAnsi="Times New Roman" w:cs="Times New Roman"/>
                            <w:b/>
                            <w:spacing w:val="-12"/>
                          </w:rPr>
                          <w:t xml:space="preserve">I  - </w:t>
                        </w:r>
                        <w:r w:rsidR="00517F59">
                          <w:rPr>
                            <w:rFonts w:ascii="Times New Roman" w:hAnsi="Times New Roman" w:cs="Times New Roman"/>
                            <w:b/>
                            <w:spacing w:val="-12"/>
                          </w:rPr>
                          <w:t>X</w:t>
                        </w:r>
                        <w:r w:rsidRPr="00455034">
                          <w:rPr>
                            <w:rFonts w:ascii="Times New Roman" w:hAnsi="Times New Roman" w:cs="Times New Roman"/>
                            <w:b/>
                            <w:spacing w:val="-12"/>
                          </w:rPr>
                          <w:t xml:space="preserve">               201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pacing w:val="-12"/>
                          </w:rPr>
                          <w:t>6</w:t>
                        </w:r>
                        <w:r w:rsidRPr="00455034">
                          <w:rPr>
                            <w:rFonts w:ascii="Times New Roman" w:hAnsi="Times New Roman" w:cs="Times New Roman"/>
                            <w:b/>
                            <w:spacing w:val="-12"/>
                          </w:rPr>
                          <w:t>=100</w:t>
                        </w:r>
                      </w:p>
                    </w:tc>
                  </w:tr>
                  <w:tr w:rsidR="0092588B" w:rsidRPr="003238E2" w:rsidTr="00974943">
                    <w:trPr>
                      <w:cantSplit/>
                      <w:trHeight w:hRule="exact" w:val="343"/>
                      <w:jc w:val="center"/>
                    </w:trPr>
                    <w:tc>
                      <w:tcPr>
                        <w:tcW w:w="9706" w:type="dxa"/>
                        <w:gridSpan w:val="6"/>
                        <w:tcBorders>
                          <w:top w:val="single" w:sz="4" w:space="0" w:color="auto"/>
                          <w:left w:val="double" w:sz="6" w:space="0" w:color="auto"/>
                          <w:bottom w:val="single" w:sz="4" w:space="0" w:color="auto"/>
                          <w:right w:val="double" w:sz="6" w:space="0" w:color="auto"/>
                        </w:tcBorders>
                        <w:vAlign w:val="center"/>
                      </w:tcPr>
                      <w:p w:rsidR="0092588B" w:rsidRPr="00455034" w:rsidRDefault="0092588B" w:rsidP="0097494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55034">
                          <w:rPr>
                            <w:rFonts w:ascii="Times New Roman" w:hAnsi="Times New Roman" w:cs="Times New Roman"/>
                            <w:b/>
                          </w:rPr>
                          <w:t>Mieszkania oddane do użytkowania</w:t>
                        </w:r>
                      </w:p>
                    </w:tc>
                  </w:tr>
                  <w:tr w:rsidR="0092588B" w:rsidRPr="003238E2" w:rsidTr="00974943">
                    <w:trPr>
                      <w:cantSplit/>
                      <w:trHeight w:hRule="exact" w:val="567"/>
                      <w:jc w:val="center"/>
                    </w:trPr>
                    <w:tc>
                      <w:tcPr>
                        <w:tcW w:w="3018" w:type="dxa"/>
                        <w:tcBorders>
                          <w:top w:val="single" w:sz="4" w:space="0" w:color="auto"/>
                          <w:left w:val="doub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92588B" w:rsidP="00974943">
                        <w:pPr>
                          <w:tabs>
                            <w:tab w:val="right" w:leader="dot" w:pos="2845"/>
                          </w:tabs>
                          <w:spacing w:before="60"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55034">
                          <w:rPr>
                            <w:rFonts w:ascii="Times New Roman" w:hAnsi="Times New Roman" w:cs="Times New Roman"/>
                            <w:b/>
                          </w:rPr>
                          <w:t>Ogółem</w:t>
                        </w:r>
                        <w:r w:rsidRPr="00455034">
                          <w:rPr>
                            <w:rFonts w:ascii="Times New Roman" w:hAnsi="Times New Roman" w:cs="Times New Roman"/>
                            <w:b/>
                          </w:rPr>
                          <w:tab/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A9560D" w:rsidP="008871BB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15555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A9560D" w:rsidP="006D30D5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93,6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A9560D" w:rsidP="00974943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103,9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A9560D" w:rsidP="00974943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139424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double" w:sz="6" w:space="0" w:color="auto"/>
                        </w:tcBorders>
                        <w:vAlign w:val="center"/>
                      </w:tcPr>
                      <w:p w:rsidR="0092588B" w:rsidRPr="00455034" w:rsidRDefault="00A9560D" w:rsidP="00974943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108,4</w:t>
                        </w:r>
                      </w:p>
                    </w:tc>
                  </w:tr>
                  <w:tr w:rsidR="0092588B" w:rsidRPr="003238E2" w:rsidTr="00974943">
                    <w:trPr>
                      <w:cantSplit/>
                      <w:trHeight w:hRule="exact" w:val="567"/>
                      <w:jc w:val="center"/>
                    </w:trPr>
                    <w:tc>
                      <w:tcPr>
                        <w:tcW w:w="3018" w:type="dxa"/>
                        <w:tcBorders>
                          <w:top w:val="single" w:sz="4" w:space="0" w:color="auto"/>
                          <w:left w:val="doub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0410C4" w:rsidRDefault="0092588B" w:rsidP="00974943">
                        <w:pPr>
                          <w:pStyle w:val="Nagwek4"/>
                          <w:tabs>
                            <w:tab w:val="right" w:leader="dot" w:pos="2845"/>
                          </w:tabs>
                          <w:spacing w:before="60" w:line="240" w:lineRule="auto"/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auto"/>
                          </w:rPr>
                        </w:pPr>
                        <w:r w:rsidRPr="000410C4"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auto"/>
                          </w:rPr>
                          <w:t>Indywidualne</w:t>
                        </w:r>
                        <w:r w:rsidRPr="000410C4"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auto"/>
                          </w:rPr>
                          <w:tab/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A9560D" w:rsidP="00974943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6837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A9560D" w:rsidP="00974943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95,2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A9560D" w:rsidP="00974943">
                        <w:pPr>
                          <w:spacing w:before="60" w:after="0" w:line="240" w:lineRule="auto"/>
                          <w:ind w:right="26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101,3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A9560D" w:rsidP="00974943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66070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double" w:sz="6" w:space="0" w:color="auto"/>
                        </w:tcBorders>
                        <w:vAlign w:val="center"/>
                      </w:tcPr>
                      <w:p w:rsidR="0092588B" w:rsidRPr="00455034" w:rsidRDefault="00A9560D" w:rsidP="00974943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106,0</w:t>
                        </w:r>
                      </w:p>
                    </w:tc>
                  </w:tr>
                  <w:tr w:rsidR="0092588B" w:rsidRPr="003238E2" w:rsidTr="00974943">
                    <w:trPr>
                      <w:cantSplit/>
                      <w:trHeight w:hRule="exact" w:val="567"/>
                      <w:jc w:val="center"/>
                    </w:trPr>
                    <w:tc>
                      <w:tcPr>
                        <w:tcW w:w="3018" w:type="dxa"/>
                        <w:tcBorders>
                          <w:top w:val="single" w:sz="4" w:space="0" w:color="auto"/>
                          <w:left w:val="doub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92588B" w:rsidP="00D54FAF">
                        <w:pPr>
                          <w:tabs>
                            <w:tab w:val="right" w:leader="dot" w:pos="2845"/>
                          </w:tabs>
                          <w:spacing w:before="60"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455034">
                          <w:rPr>
                            <w:rFonts w:ascii="Times New Roman" w:hAnsi="Times New Roman" w:cs="Times New Roman"/>
                          </w:rPr>
                          <w:t>Przeznaczone na sprzedaż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lub wynajem</w:t>
                        </w:r>
                        <w:r w:rsidRPr="00BB5F86">
                          <w:rPr>
                            <w:rFonts w:ascii="Times New Roman" w:hAnsi="Times New Roman" w:cs="Times New Roman"/>
                          </w:rPr>
                          <w:tab/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A9560D" w:rsidP="00974943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7925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A9560D" w:rsidP="00974943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95,5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A9560D" w:rsidP="00974943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102,3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A9560D" w:rsidP="00974943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68910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double" w:sz="6" w:space="0" w:color="auto"/>
                        </w:tcBorders>
                        <w:vAlign w:val="center"/>
                      </w:tcPr>
                      <w:p w:rsidR="0092588B" w:rsidRPr="00455034" w:rsidRDefault="00A9560D" w:rsidP="00974943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111,8</w:t>
                        </w:r>
                      </w:p>
                    </w:tc>
                  </w:tr>
                  <w:tr w:rsidR="0092588B" w:rsidRPr="003238E2" w:rsidTr="00974943">
                    <w:trPr>
                      <w:cantSplit/>
                      <w:trHeight w:hRule="exact" w:val="567"/>
                      <w:jc w:val="center"/>
                    </w:trPr>
                    <w:tc>
                      <w:tcPr>
                        <w:tcW w:w="3018" w:type="dxa"/>
                        <w:tcBorders>
                          <w:top w:val="single" w:sz="4" w:space="0" w:color="auto"/>
                          <w:left w:val="doub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92588B" w:rsidP="00974943">
                        <w:pPr>
                          <w:tabs>
                            <w:tab w:val="right" w:leader="dot" w:pos="2845"/>
                          </w:tabs>
                          <w:spacing w:before="60"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455034">
                          <w:rPr>
                            <w:rFonts w:ascii="Times New Roman" w:hAnsi="Times New Roman" w:cs="Times New Roman"/>
                          </w:rPr>
                          <w:t>Spółdzielcze</w:t>
                        </w:r>
                        <w:r w:rsidRPr="00455034">
                          <w:rPr>
                            <w:rFonts w:ascii="Times New Roman" w:hAnsi="Times New Roman" w:cs="Times New Roman"/>
                          </w:rPr>
                          <w:tab/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A9560D" w:rsidP="00974943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334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A9560D" w:rsidP="00514F52">
                        <w:pPr>
                          <w:spacing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87,2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A9560D" w:rsidP="00120946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159,0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A9560D" w:rsidP="00C45A97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1872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double" w:sz="6" w:space="0" w:color="auto"/>
                        </w:tcBorders>
                        <w:vAlign w:val="center"/>
                      </w:tcPr>
                      <w:p w:rsidR="0092588B" w:rsidRPr="00455034" w:rsidRDefault="00A9560D" w:rsidP="006C4DC3">
                        <w:pPr>
                          <w:spacing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87,0</w:t>
                        </w:r>
                      </w:p>
                    </w:tc>
                  </w:tr>
                  <w:tr w:rsidR="0092588B" w:rsidRPr="003238E2" w:rsidTr="00080B86">
                    <w:trPr>
                      <w:cantSplit/>
                      <w:trHeight w:hRule="exact" w:val="547"/>
                      <w:jc w:val="center"/>
                    </w:trPr>
                    <w:tc>
                      <w:tcPr>
                        <w:tcW w:w="3018" w:type="dxa"/>
                        <w:tcBorders>
                          <w:top w:val="single" w:sz="4" w:space="0" w:color="auto"/>
                          <w:left w:val="doub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92588B" w:rsidP="00974943">
                        <w:pPr>
                          <w:tabs>
                            <w:tab w:val="right" w:leader="dot" w:pos="2845"/>
                          </w:tabs>
                          <w:spacing w:before="60"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455034">
                          <w:rPr>
                            <w:rFonts w:ascii="Times New Roman" w:hAnsi="Times New Roman" w:cs="Times New Roman"/>
                          </w:rPr>
                          <w:t>Pozostałe</w:t>
                        </w:r>
                        <w:r w:rsidRPr="00455034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b</w:t>
                        </w:r>
                        <w:proofErr w:type="spellEnd"/>
                        <w:r w:rsidRPr="00455034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)</w:t>
                        </w:r>
                        <w:r w:rsidRPr="00455034">
                          <w:rPr>
                            <w:rFonts w:ascii="Times New Roman" w:hAnsi="Times New Roman" w:cs="Times New Roman"/>
                          </w:rPr>
                          <w:tab/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A9560D" w:rsidP="00962EE3">
                        <w:pPr>
                          <w:spacing w:after="0" w:line="240" w:lineRule="auto"/>
                          <w:ind w:right="26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459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A9560D" w:rsidP="00560F55">
                        <w:pPr>
                          <w:spacing w:after="0" w:line="240" w:lineRule="auto"/>
                          <w:ind w:right="26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60,2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9560D" w:rsidRDefault="00A9560D" w:rsidP="00A9560D">
                        <w:pPr>
                          <w:spacing w:before="60" w:after="0" w:line="240" w:lineRule="auto"/>
                          <w:ind w:right="261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blisko</w:t>
                        </w:r>
                      </w:p>
                      <w:p w:rsidR="0092588B" w:rsidRPr="003C3260" w:rsidRDefault="00A9560D" w:rsidP="00A9560D">
                        <w:pPr>
                          <w:spacing w:after="0" w:line="240" w:lineRule="auto"/>
                          <w:ind w:right="26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2-krotny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A9560D" w:rsidP="00962EE3">
                        <w:pPr>
                          <w:spacing w:after="0" w:line="240" w:lineRule="auto"/>
                          <w:ind w:right="26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2572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double" w:sz="6" w:space="0" w:color="auto"/>
                        </w:tcBorders>
                        <w:vAlign w:val="center"/>
                      </w:tcPr>
                      <w:p w:rsidR="0092588B" w:rsidRPr="00455034" w:rsidRDefault="00A9560D" w:rsidP="00AF7400">
                        <w:pPr>
                          <w:spacing w:after="0" w:line="240" w:lineRule="auto"/>
                          <w:ind w:right="26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101,2</w:t>
                        </w:r>
                      </w:p>
                    </w:tc>
                  </w:tr>
                  <w:tr w:rsidR="0092588B" w:rsidRPr="003238E2" w:rsidTr="00974943">
                    <w:trPr>
                      <w:cantSplit/>
                      <w:trHeight w:hRule="exact" w:val="327"/>
                      <w:jc w:val="center"/>
                    </w:trPr>
                    <w:tc>
                      <w:tcPr>
                        <w:tcW w:w="9706" w:type="dxa"/>
                        <w:gridSpan w:val="6"/>
                        <w:tcBorders>
                          <w:top w:val="single" w:sz="4" w:space="0" w:color="auto"/>
                          <w:left w:val="double" w:sz="6" w:space="0" w:color="auto"/>
                          <w:bottom w:val="single" w:sz="4" w:space="0" w:color="auto"/>
                          <w:right w:val="double" w:sz="6" w:space="0" w:color="auto"/>
                        </w:tcBorders>
                      </w:tcPr>
                      <w:p w:rsidR="0092588B" w:rsidRPr="00455034" w:rsidRDefault="0092588B" w:rsidP="0097494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55034">
                          <w:rPr>
                            <w:rFonts w:ascii="Times New Roman" w:hAnsi="Times New Roman" w:cs="Times New Roman"/>
                            <w:b/>
                          </w:rPr>
                          <w:t>Mieszkania, których budowę rozpoczęto</w:t>
                        </w:r>
                      </w:p>
                    </w:tc>
                  </w:tr>
                  <w:tr w:rsidR="0092588B" w:rsidRPr="003238E2" w:rsidTr="00974943">
                    <w:trPr>
                      <w:cantSplit/>
                      <w:trHeight w:hRule="exact" w:val="567"/>
                      <w:jc w:val="center"/>
                    </w:trPr>
                    <w:tc>
                      <w:tcPr>
                        <w:tcW w:w="3018" w:type="dxa"/>
                        <w:tcBorders>
                          <w:top w:val="single" w:sz="4" w:space="0" w:color="auto"/>
                          <w:left w:val="doub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2716A8" w:rsidRDefault="0092588B" w:rsidP="00974943">
                        <w:pPr>
                          <w:tabs>
                            <w:tab w:val="right" w:leader="dot" w:pos="2845"/>
                          </w:tabs>
                          <w:spacing w:before="60"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2716A8">
                          <w:rPr>
                            <w:rFonts w:ascii="Times New Roman" w:hAnsi="Times New Roman" w:cs="Times New Roman"/>
                            <w:b/>
                          </w:rPr>
                          <w:t>Ogółem</w:t>
                        </w:r>
                        <w:r w:rsidRPr="002716A8">
                          <w:rPr>
                            <w:rFonts w:ascii="Times New Roman" w:hAnsi="Times New Roman" w:cs="Times New Roman"/>
                            <w:b/>
                          </w:rPr>
                          <w:tab/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A9560D" w:rsidP="00974943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16275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A9560D" w:rsidP="00974943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104,5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A9560D" w:rsidP="002E1B44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95,8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A9560D" w:rsidP="00974943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177125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double" w:sz="6" w:space="0" w:color="auto"/>
                        </w:tcBorders>
                        <w:vAlign w:val="center"/>
                      </w:tcPr>
                      <w:p w:rsidR="0092588B" w:rsidRPr="00455034" w:rsidRDefault="00A9560D" w:rsidP="00974943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119,2</w:t>
                        </w:r>
                      </w:p>
                    </w:tc>
                  </w:tr>
                  <w:tr w:rsidR="0092588B" w:rsidRPr="003238E2" w:rsidTr="00974943">
                    <w:trPr>
                      <w:cantSplit/>
                      <w:trHeight w:hRule="exact" w:val="567"/>
                      <w:jc w:val="center"/>
                    </w:trPr>
                    <w:tc>
                      <w:tcPr>
                        <w:tcW w:w="3018" w:type="dxa"/>
                        <w:tcBorders>
                          <w:top w:val="single" w:sz="4" w:space="0" w:color="auto"/>
                          <w:left w:val="doub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BB5F86" w:rsidRDefault="0092588B" w:rsidP="00974943">
                        <w:pPr>
                          <w:pStyle w:val="Nagwek4"/>
                          <w:tabs>
                            <w:tab w:val="right" w:leader="dot" w:pos="2845"/>
                          </w:tabs>
                          <w:spacing w:before="60" w:line="240" w:lineRule="auto"/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auto"/>
                          </w:rPr>
                        </w:pPr>
                        <w:r w:rsidRPr="00BB5F86"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auto"/>
                          </w:rPr>
                          <w:t>Indywidualne</w:t>
                        </w:r>
                        <w:r w:rsidRPr="007542AC">
                          <w:rPr>
                            <w:rFonts w:ascii="Times New Roman" w:hAnsi="Times New Roman" w:cs="Times New Roman"/>
                            <w:b w:val="0"/>
                            <w:color w:val="auto"/>
                          </w:rPr>
                          <w:tab/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BB5F86" w:rsidRDefault="00A9560D" w:rsidP="00A32CC6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8094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A9560D" w:rsidP="00DB79E7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119,7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A9560D" w:rsidP="002E1B44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94,5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A9560D" w:rsidP="00E0394C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84820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double" w:sz="6" w:space="0" w:color="auto"/>
                        </w:tcBorders>
                        <w:vAlign w:val="center"/>
                      </w:tcPr>
                      <w:p w:rsidR="0092588B" w:rsidRPr="00455034" w:rsidRDefault="00A9560D" w:rsidP="00974943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115,4</w:t>
                        </w:r>
                      </w:p>
                    </w:tc>
                  </w:tr>
                  <w:tr w:rsidR="0092588B" w:rsidRPr="003238E2" w:rsidTr="00974943">
                    <w:trPr>
                      <w:cantSplit/>
                      <w:trHeight w:hRule="exact" w:val="567"/>
                      <w:jc w:val="center"/>
                    </w:trPr>
                    <w:tc>
                      <w:tcPr>
                        <w:tcW w:w="3018" w:type="dxa"/>
                        <w:tcBorders>
                          <w:top w:val="single" w:sz="4" w:space="0" w:color="auto"/>
                          <w:left w:val="doub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92588B" w:rsidP="00651A3C">
                        <w:pPr>
                          <w:tabs>
                            <w:tab w:val="right" w:leader="dot" w:pos="2845"/>
                          </w:tabs>
                          <w:spacing w:before="60"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455034">
                          <w:rPr>
                            <w:rFonts w:ascii="Times New Roman" w:hAnsi="Times New Roman" w:cs="Times New Roman"/>
                          </w:rPr>
                          <w:t>Przeznaczone na sprzedaż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lub </w:t>
                        </w:r>
                        <w:r w:rsidR="00651A3C">
                          <w:rPr>
                            <w:rFonts w:ascii="Times New Roman" w:hAnsi="Times New Roman" w:cs="Times New Roman"/>
                          </w:rPr>
                          <w:t>wy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najem</w:t>
                        </w:r>
                        <w:r w:rsidRPr="00BB5F86">
                          <w:rPr>
                            <w:rFonts w:ascii="Times New Roman" w:hAnsi="Times New Roman" w:cs="Times New Roman"/>
                          </w:rPr>
                          <w:tab/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A9560D" w:rsidP="00974943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7755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A9560D" w:rsidP="003B3DB4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98,3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A9560D" w:rsidP="002B2556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106,8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A9560D" w:rsidP="00974943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87311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double" w:sz="6" w:space="0" w:color="auto"/>
                        </w:tcBorders>
                        <w:vAlign w:val="center"/>
                      </w:tcPr>
                      <w:p w:rsidR="0092588B" w:rsidRPr="00455034" w:rsidRDefault="00A9560D" w:rsidP="00974943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123,0</w:t>
                        </w:r>
                      </w:p>
                    </w:tc>
                  </w:tr>
                  <w:tr w:rsidR="0092588B" w:rsidRPr="003238E2" w:rsidTr="00974943">
                    <w:trPr>
                      <w:cantSplit/>
                      <w:trHeight w:hRule="exact" w:val="567"/>
                      <w:jc w:val="center"/>
                    </w:trPr>
                    <w:tc>
                      <w:tcPr>
                        <w:tcW w:w="3018" w:type="dxa"/>
                        <w:tcBorders>
                          <w:top w:val="single" w:sz="4" w:space="0" w:color="auto"/>
                          <w:left w:val="doub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92588B" w:rsidP="00974943">
                        <w:pPr>
                          <w:tabs>
                            <w:tab w:val="right" w:leader="dot" w:pos="2845"/>
                          </w:tabs>
                          <w:spacing w:before="60"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455034">
                          <w:rPr>
                            <w:rFonts w:ascii="Times New Roman" w:hAnsi="Times New Roman" w:cs="Times New Roman"/>
                          </w:rPr>
                          <w:t>Spółdzielcze</w:t>
                        </w:r>
                        <w:r w:rsidRPr="00455034">
                          <w:rPr>
                            <w:rFonts w:ascii="Times New Roman" w:hAnsi="Times New Roman" w:cs="Times New Roman"/>
                          </w:rPr>
                          <w:tab/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410D0B" w:rsidP="00974943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106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0737" w:rsidRPr="00341073" w:rsidRDefault="00410D0B" w:rsidP="0085727E">
                        <w:pPr>
                          <w:spacing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62,0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410D0B" w:rsidP="0085727E">
                        <w:pPr>
                          <w:spacing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18,7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410D0B" w:rsidP="00974943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2314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double" w:sz="6" w:space="0" w:color="auto"/>
                        </w:tcBorders>
                        <w:vAlign w:val="center"/>
                      </w:tcPr>
                      <w:p w:rsidR="0092588B" w:rsidRPr="00455034" w:rsidRDefault="00410D0B" w:rsidP="00430737">
                        <w:pPr>
                          <w:spacing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121,7</w:t>
                        </w:r>
                      </w:p>
                    </w:tc>
                  </w:tr>
                  <w:tr w:rsidR="0092588B" w:rsidRPr="003238E2" w:rsidTr="00974943">
                    <w:trPr>
                      <w:cantSplit/>
                      <w:trHeight w:hRule="exact" w:val="567"/>
                      <w:jc w:val="center"/>
                    </w:trPr>
                    <w:tc>
                      <w:tcPr>
                        <w:tcW w:w="3018" w:type="dxa"/>
                        <w:tcBorders>
                          <w:top w:val="single" w:sz="4" w:space="0" w:color="auto"/>
                          <w:left w:val="doub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2716A8" w:rsidRDefault="0092588B" w:rsidP="00974943">
                        <w:pPr>
                          <w:tabs>
                            <w:tab w:val="right" w:leader="dot" w:pos="2845"/>
                          </w:tabs>
                          <w:spacing w:before="60"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716A8">
                          <w:rPr>
                            <w:rFonts w:ascii="Times New Roman" w:hAnsi="Times New Roman" w:cs="Times New Roman"/>
                          </w:rPr>
                          <w:t>Pozostałe</w:t>
                        </w:r>
                        <w:r w:rsidRPr="002716A8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b</w:t>
                        </w:r>
                        <w:proofErr w:type="spellEnd"/>
                        <w:r w:rsidRPr="002716A8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)</w:t>
                        </w:r>
                        <w:r w:rsidRPr="002716A8">
                          <w:rPr>
                            <w:rFonts w:ascii="Times New Roman" w:hAnsi="Times New Roman" w:cs="Times New Roman"/>
                          </w:rPr>
                          <w:tab/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410D0B" w:rsidP="00974943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320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410D0B" w:rsidP="00430737">
                        <w:pPr>
                          <w:spacing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43,1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410D0B" w:rsidP="0085727E">
                        <w:pPr>
                          <w:spacing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53,2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410D0B" w:rsidP="00974943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2680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double" w:sz="6" w:space="0" w:color="auto"/>
                        </w:tcBorders>
                        <w:vAlign w:val="center"/>
                      </w:tcPr>
                      <w:p w:rsidR="0092588B" w:rsidRPr="00455034" w:rsidRDefault="00410D0B" w:rsidP="006F42BA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119,2</w:t>
                        </w:r>
                      </w:p>
                    </w:tc>
                  </w:tr>
                  <w:tr w:rsidR="0092588B" w:rsidRPr="003238E2" w:rsidTr="008B4253">
                    <w:trPr>
                      <w:cantSplit/>
                      <w:trHeight w:hRule="exact" w:val="500"/>
                      <w:jc w:val="center"/>
                    </w:trPr>
                    <w:tc>
                      <w:tcPr>
                        <w:tcW w:w="9706" w:type="dxa"/>
                        <w:gridSpan w:val="6"/>
                        <w:tcBorders>
                          <w:top w:val="single" w:sz="4" w:space="0" w:color="auto"/>
                          <w:left w:val="double" w:sz="6" w:space="0" w:color="auto"/>
                          <w:bottom w:val="single" w:sz="4" w:space="0" w:color="auto"/>
                          <w:right w:val="double" w:sz="6" w:space="0" w:color="auto"/>
                        </w:tcBorders>
                        <w:vAlign w:val="center"/>
                      </w:tcPr>
                      <w:p w:rsidR="0092588B" w:rsidRPr="002716A8" w:rsidRDefault="0092588B" w:rsidP="00A300A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2716A8">
                          <w:rPr>
                            <w:rFonts w:ascii="Times New Roman" w:hAnsi="Times New Roman" w:cs="Times New Roman"/>
                            <w:b/>
                          </w:rPr>
                          <w:t>Mieszkania, na których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budowę </w:t>
                        </w:r>
                        <w:r w:rsidRPr="002716A8">
                          <w:rPr>
                            <w:rFonts w:ascii="Times New Roman" w:hAnsi="Times New Roman" w:cs="Times New Roman"/>
                            <w:b/>
                          </w:rPr>
                          <w:t xml:space="preserve">wydano </w:t>
                        </w:r>
                        <w:r w:rsidRPr="00C738BD">
                          <w:rPr>
                            <w:rFonts w:ascii="Times New Roman" w:hAnsi="Times New Roman" w:cs="Times New Roman"/>
                            <w:b/>
                          </w:rPr>
                          <w:t>pozwolenia lub dokonano zgłoszenia z projektem budowlanym</w:t>
                        </w:r>
                      </w:p>
                    </w:tc>
                  </w:tr>
                  <w:tr w:rsidR="0092588B" w:rsidRPr="003238E2" w:rsidTr="00974943">
                    <w:trPr>
                      <w:cantSplit/>
                      <w:trHeight w:hRule="exact" w:val="567"/>
                      <w:jc w:val="center"/>
                    </w:trPr>
                    <w:tc>
                      <w:tcPr>
                        <w:tcW w:w="3018" w:type="dxa"/>
                        <w:tcBorders>
                          <w:top w:val="single" w:sz="4" w:space="0" w:color="auto"/>
                          <w:left w:val="doub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2716A8" w:rsidRDefault="0092588B" w:rsidP="00974943">
                        <w:pPr>
                          <w:tabs>
                            <w:tab w:val="right" w:leader="dot" w:pos="2845"/>
                          </w:tabs>
                          <w:spacing w:before="60"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2716A8">
                          <w:rPr>
                            <w:rFonts w:ascii="Times New Roman" w:hAnsi="Times New Roman" w:cs="Times New Roman"/>
                            <w:b/>
                          </w:rPr>
                          <w:t>Ogółem</w:t>
                        </w:r>
                        <w:r w:rsidRPr="002716A8">
                          <w:rPr>
                            <w:rFonts w:ascii="Times New Roman" w:hAnsi="Times New Roman" w:cs="Times New Roman"/>
                            <w:b/>
                          </w:rPr>
                          <w:tab/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410D0B" w:rsidP="00AF06FD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22689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410D0B" w:rsidP="00AF06FD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115,1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410D0B" w:rsidP="00AF06FD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106,3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410D0B" w:rsidP="00974943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213218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double" w:sz="6" w:space="0" w:color="auto"/>
                        </w:tcBorders>
                        <w:vAlign w:val="center"/>
                      </w:tcPr>
                      <w:p w:rsidR="0092588B" w:rsidRPr="00455034" w:rsidRDefault="00410D0B" w:rsidP="00CA023B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122,5</w:t>
                        </w:r>
                      </w:p>
                    </w:tc>
                  </w:tr>
                  <w:tr w:rsidR="0092588B" w:rsidRPr="003238E2" w:rsidTr="00974943">
                    <w:trPr>
                      <w:cantSplit/>
                      <w:trHeight w:hRule="exact" w:val="567"/>
                      <w:jc w:val="center"/>
                    </w:trPr>
                    <w:tc>
                      <w:tcPr>
                        <w:tcW w:w="3018" w:type="dxa"/>
                        <w:tcBorders>
                          <w:top w:val="single" w:sz="4" w:space="0" w:color="auto"/>
                          <w:left w:val="doub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2716A8" w:rsidRDefault="0092588B" w:rsidP="00974943">
                        <w:pPr>
                          <w:pStyle w:val="Nagwek4"/>
                          <w:tabs>
                            <w:tab w:val="right" w:leader="dot" w:pos="2845"/>
                          </w:tabs>
                          <w:spacing w:before="60" w:line="240" w:lineRule="auto"/>
                          <w:rPr>
                            <w:rFonts w:ascii="Times New Roman" w:hAnsi="Times New Roman" w:cs="Times New Roman"/>
                            <w:b w:val="0"/>
                            <w:color w:val="auto"/>
                          </w:rPr>
                        </w:pPr>
                        <w:r w:rsidRPr="00BB5F86"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auto"/>
                          </w:rPr>
                          <w:t>Indywidualne</w:t>
                        </w:r>
                        <w:r w:rsidRPr="007542AC">
                          <w:rPr>
                            <w:rFonts w:ascii="Times New Roman" w:hAnsi="Times New Roman" w:cs="Times New Roman"/>
                            <w:b w:val="0"/>
                            <w:color w:val="auto"/>
                          </w:rPr>
                          <w:tab/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BB5F86" w:rsidRDefault="00410D0B" w:rsidP="00AF06FD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10782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410D0B" w:rsidP="00AF06FD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130,4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410D0B" w:rsidP="00AF06FD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106,9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410D0B" w:rsidP="00974943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97966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double" w:sz="6" w:space="0" w:color="auto"/>
                        </w:tcBorders>
                        <w:vAlign w:val="center"/>
                      </w:tcPr>
                      <w:p w:rsidR="0092588B" w:rsidRPr="00455034" w:rsidRDefault="00410D0B" w:rsidP="00974943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118,8</w:t>
                        </w:r>
                      </w:p>
                    </w:tc>
                  </w:tr>
                  <w:tr w:rsidR="0092588B" w:rsidRPr="003238E2" w:rsidTr="00974943">
                    <w:trPr>
                      <w:cantSplit/>
                      <w:trHeight w:hRule="exact" w:val="567"/>
                      <w:jc w:val="center"/>
                    </w:trPr>
                    <w:tc>
                      <w:tcPr>
                        <w:tcW w:w="3018" w:type="dxa"/>
                        <w:tcBorders>
                          <w:top w:val="single" w:sz="4" w:space="0" w:color="auto"/>
                          <w:left w:val="doub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92588B" w:rsidP="00974943">
                        <w:pPr>
                          <w:tabs>
                            <w:tab w:val="right" w:leader="dot" w:pos="2845"/>
                          </w:tabs>
                          <w:spacing w:before="60"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455034">
                          <w:rPr>
                            <w:rFonts w:ascii="Times New Roman" w:hAnsi="Times New Roman" w:cs="Times New Roman"/>
                          </w:rPr>
                          <w:t>Przeznaczone na sprzedaż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lub wynajem</w:t>
                        </w:r>
                        <w:r w:rsidRPr="00BB5F86">
                          <w:rPr>
                            <w:rFonts w:ascii="Times New Roman" w:hAnsi="Times New Roman" w:cs="Times New Roman"/>
                          </w:rPr>
                          <w:tab/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410D0B" w:rsidP="00AF06FD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11499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410D0B" w:rsidP="00AF06FD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109,3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410D0B" w:rsidP="00AF06FD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109,8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410D0B" w:rsidP="00177C27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109715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double" w:sz="6" w:space="0" w:color="auto"/>
                        </w:tcBorders>
                        <w:vAlign w:val="center"/>
                      </w:tcPr>
                      <w:p w:rsidR="0092588B" w:rsidRPr="00455034" w:rsidRDefault="00410D0B" w:rsidP="00974943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127,2</w:t>
                        </w:r>
                      </w:p>
                    </w:tc>
                  </w:tr>
                  <w:tr w:rsidR="0092588B" w:rsidRPr="003238E2" w:rsidTr="00CA023B">
                    <w:trPr>
                      <w:cantSplit/>
                      <w:trHeight w:hRule="exact" w:val="546"/>
                      <w:jc w:val="center"/>
                    </w:trPr>
                    <w:tc>
                      <w:tcPr>
                        <w:tcW w:w="3018" w:type="dxa"/>
                        <w:tcBorders>
                          <w:top w:val="single" w:sz="4" w:space="0" w:color="auto"/>
                          <w:left w:val="doub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BB5F86" w:rsidRDefault="0092588B" w:rsidP="00915E99">
                        <w:pPr>
                          <w:tabs>
                            <w:tab w:val="right" w:leader="dot" w:pos="2845"/>
                          </w:tabs>
                          <w:spacing w:before="60" w:after="0"/>
                          <w:rPr>
                            <w:rFonts w:ascii="Times New Roman" w:hAnsi="Times New Roman" w:cs="Times New Roman"/>
                          </w:rPr>
                        </w:pPr>
                        <w:r w:rsidRPr="00BB5F86">
                          <w:rPr>
                            <w:rFonts w:ascii="Times New Roman" w:hAnsi="Times New Roman" w:cs="Times New Roman"/>
                          </w:rPr>
                          <w:t>Spółdzielcze</w:t>
                        </w:r>
                        <w:r w:rsidRPr="00BB5F86">
                          <w:rPr>
                            <w:rFonts w:ascii="Times New Roman" w:hAnsi="Times New Roman" w:cs="Times New Roman"/>
                          </w:rPr>
                          <w:tab/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410D0B" w:rsidP="00643677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410D0B" w:rsidP="00AF6C76">
                        <w:pPr>
                          <w:spacing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0,3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06743C" w:rsidRDefault="00410D0B" w:rsidP="002F0F77">
                        <w:pPr>
                          <w:spacing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1,2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410D0B" w:rsidP="00AF06FD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1216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double" w:sz="6" w:space="0" w:color="auto"/>
                        </w:tcBorders>
                        <w:vAlign w:val="center"/>
                      </w:tcPr>
                      <w:p w:rsidR="0092588B" w:rsidRPr="00455034" w:rsidRDefault="00410D0B" w:rsidP="002F0F77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90,5</w:t>
                        </w:r>
                      </w:p>
                    </w:tc>
                  </w:tr>
                  <w:tr w:rsidR="0092588B" w:rsidRPr="003238E2" w:rsidTr="00C0794D">
                    <w:trPr>
                      <w:cantSplit/>
                      <w:trHeight w:hRule="exact" w:val="567"/>
                      <w:jc w:val="center"/>
                    </w:trPr>
                    <w:tc>
                      <w:tcPr>
                        <w:tcW w:w="3018" w:type="dxa"/>
                        <w:tcBorders>
                          <w:top w:val="single" w:sz="4" w:space="0" w:color="auto"/>
                          <w:left w:val="double" w:sz="6" w:space="0" w:color="auto"/>
                          <w:bottom w:val="doub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BB5F86" w:rsidRDefault="0092588B" w:rsidP="00974943">
                        <w:pPr>
                          <w:tabs>
                            <w:tab w:val="right" w:leader="dot" w:pos="2845"/>
                          </w:tabs>
                          <w:spacing w:before="60" w:after="240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BB5F86">
                          <w:rPr>
                            <w:rFonts w:ascii="Times New Roman" w:hAnsi="Times New Roman" w:cs="Times New Roman"/>
                          </w:rPr>
                          <w:t>Pozostałe</w:t>
                        </w:r>
                        <w:r w:rsidRPr="00BB5F86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b</w:t>
                        </w:r>
                        <w:proofErr w:type="spellEnd"/>
                        <w:r w:rsidRPr="00BB5F86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)</w:t>
                        </w:r>
                        <w:r w:rsidRPr="00BB5F86">
                          <w:rPr>
                            <w:rFonts w:ascii="Times New Roman" w:hAnsi="Times New Roman" w:cs="Times New Roman"/>
                          </w:rPr>
                          <w:tab/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410D0B" w:rsidP="00AF06FD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407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410D0B" w:rsidP="00410D0B">
                        <w:pPr>
                          <w:spacing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67,5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410D0B" w:rsidP="00AF6C76">
                        <w:pPr>
                          <w:spacing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57,3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2588B" w:rsidRPr="00455034" w:rsidRDefault="00410D0B" w:rsidP="00AF06FD">
                        <w:pPr>
                          <w:spacing w:before="60"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4321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6" w:space="0" w:color="auto"/>
                          <w:right w:val="double" w:sz="6" w:space="0" w:color="auto"/>
                        </w:tcBorders>
                        <w:vAlign w:val="center"/>
                      </w:tcPr>
                      <w:p w:rsidR="0092588B" w:rsidRPr="00F5567A" w:rsidRDefault="00410D0B" w:rsidP="00D014E6">
                        <w:pPr>
                          <w:spacing w:after="0" w:line="240" w:lineRule="auto"/>
                          <w:ind w:right="25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108,8</w:t>
                        </w:r>
                      </w:p>
                    </w:tc>
                  </w:tr>
                </w:tbl>
                <w:p w:rsidR="0092588B" w:rsidRPr="002716A8" w:rsidRDefault="0092588B" w:rsidP="002716A8">
                  <w:pPr>
                    <w:pStyle w:val="Tekstpodstawowywcity21"/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ind w:left="357" w:firstLine="0"/>
                    <w:rPr>
                      <w:i w:val="0"/>
                      <w:sz w:val="16"/>
                      <w:szCs w:val="16"/>
                    </w:rPr>
                  </w:pPr>
                  <w:r>
                    <w:rPr>
                      <w:sz w:val="22"/>
                      <w:szCs w:val="22"/>
                    </w:rPr>
                    <w:t>dane meldunkowe – mogą ulec zmianie po opracowaniu sprawozdań kwartalnych</w:t>
                  </w:r>
                </w:p>
                <w:p w:rsidR="0092588B" w:rsidRPr="00455034" w:rsidRDefault="0092588B" w:rsidP="002716A8">
                  <w:pPr>
                    <w:pStyle w:val="Tekstpodstawowywcity21"/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ind w:left="357" w:firstLine="0"/>
                    <w:rPr>
                      <w:i w:val="0"/>
                      <w:sz w:val="16"/>
                      <w:szCs w:val="16"/>
                    </w:rPr>
                  </w:pPr>
                  <w:r>
                    <w:rPr>
                      <w:sz w:val="22"/>
                      <w:szCs w:val="22"/>
                    </w:rPr>
                    <w:t>z</w:t>
                  </w:r>
                  <w:r w:rsidRPr="00455034">
                    <w:rPr>
                      <w:sz w:val="22"/>
                      <w:szCs w:val="22"/>
                    </w:rPr>
                    <w:t>akładowe, komunalne, społeczne czynszowe</w:t>
                  </w:r>
                </w:p>
                <w:p w:rsidR="0092588B" w:rsidRDefault="0092588B" w:rsidP="00FE035D"/>
                <w:p w:rsidR="0092588B" w:rsidRDefault="0092588B" w:rsidP="00FE035D"/>
                <w:p w:rsidR="0092588B" w:rsidRDefault="0092588B" w:rsidP="00FE035D"/>
                <w:p w:rsidR="0092588B" w:rsidRDefault="0092588B" w:rsidP="00FE035D"/>
                <w:p w:rsidR="0092588B" w:rsidRDefault="0092588B" w:rsidP="00FE035D"/>
                <w:p w:rsidR="0092588B" w:rsidRPr="00FE035D" w:rsidRDefault="0092588B" w:rsidP="00FE035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FE035D">
                    <w:rPr>
                      <w:b/>
                      <w:i/>
                      <w:sz w:val="28"/>
                      <w:szCs w:val="28"/>
                    </w:rPr>
                    <w:t>Tabela</w:t>
                  </w:r>
                </w:p>
              </w:txbxContent>
            </v:textbox>
          </v:shape>
        </w:pict>
      </w:r>
    </w:p>
    <w:p w:rsidR="00670E4C" w:rsidRDefault="00670E4C"/>
    <w:p w:rsidR="006C417A" w:rsidRDefault="006C417A"/>
    <w:p w:rsidR="006C417A" w:rsidRDefault="006C417A"/>
    <w:p w:rsidR="006C417A" w:rsidRPr="00451D55" w:rsidRDefault="006C417A"/>
    <w:p w:rsidR="006C417A" w:rsidRPr="00451D55" w:rsidRDefault="006C417A"/>
    <w:p w:rsidR="00670E4C" w:rsidRPr="00451D55" w:rsidRDefault="00670E4C"/>
    <w:p w:rsidR="00670E4C" w:rsidRPr="00451D55" w:rsidRDefault="00670E4C">
      <w:pPr>
        <w:rPr>
          <w:b/>
        </w:rPr>
      </w:pPr>
    </w:p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Default="00670E4C"/>
    <w:p w:rsidR="00451D55" w:rsidRPr="00451D55" w:rsidRDefault="00451D55"/>
    <w:p w:rsidR="00670E4C" w:rsidRPr="00451D55" w:rsidRDefault="00351B74">
      <w:r>
        <w:rPr>
          <w:noProof/>
        </w:rPr>
        <w:lastRenderedPageBreak/>
        <w:pict>
          <v:shape id="_x0000_s1031" type="#_x0000_t202" style="position:absolute;margin-left:-19.4pt;margin-top:-12.75pt;width:501.05pt;height:737.8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" stroked="f" strokecolor="#4f81bd [3204]">
            <v:stroke dashstyle="3 1"/>
            <v:textbox style="mso-next-textbox:#_x0000_s1031">
              <w:txbxContent>
                <w:p w:rsidR="0092588B" w:rsidRPr="0068005F" w:rsidRDefault="0092588B" w:rsidP="002C1046">
                  <w:pPr>
                    <w:spacing w:after="0" w:line="240" w:lineRule="auto"/>
                    <w:ind w:left="142" w:right="-48" w:firstLine="709"/>
                    <w:jc w:val="both"/>
                    <w:rPr>
                      <w:sz w:val="23"/>
                      <w:szCs w:val="23"/>
                    </w:rPr>
                  </w:pPr>
                  <w:r w:rsidRPr="0068005F">
                    <w:rPr>
                      <w:sz w:val="23"/>
                      <w:szCs w:val="23"/>
                    </w:rPr>
                    <w:t>Według wstępnych danych, w okresie styczeń-</w:t>
                  </w:r>
                  <w:r w:rsidR="00E9631C">
                    <w:rPr>
                      <w:sz w:val="23"/>
                      <w:szCs w:val="23"/>
                    </w:rPr>
                    <w:t>październik</w:t>
                  </w:r>
                  <w:r w:rsidRPr="0068005F">
                    <w:rPr>
                      <w:sz w:val="23"/>
                      <w:szCs w:val="23"/>
                    </w:rPr>
                    <w:t xml:space="preserve"> 201</w:t>
                  </w:r>
                  <w:r>
                    <w:rPr>
                      <w:sz w:val="23"/>
                      <w:szCs w:val="23"/>
                    </w:rPr>
                    <w:t>7</w:t>
                  </w:r>
                  <w:r w:rsidRPr="0068005F">
                    <w:rPr>
                      <w:sz w:val="23"/>
                      <w:szCs w:val="23"/>
                    </w:rPr>
                    <w:t xml:space="preserve"> r. oddano do użytkowania </w:t>
                  </w:r>
                  <w:r w:rsidR="005003EA">
                    <w:rPr>
                      <w:sz w:val="23"/>
                      <w:szCs w:val="23"/>
                    </w:rPr>
                    <w:t>1</w:t>
                  </w:r>
                  <w:r w:rsidR="00AF6C76">
                    <w:rPr>
                      <w:sz w:val="23"/>
                      <w:szCs w:val="23"/>
                    </w:rPr>
                    <w:t>39</w:t>
                  </w:r>
                  <w:r w:rsidR="00921347">
                    <w:rPr>
                      <w:sz w:val="23"/>
                      <w:szCs w:val="23"/>
                    </w:rPr>
                    <w:t>424</w:t>
                  </w:r>
                  <w:r w:rsidRPr="0068005F">
                    <w:rPr>
                      <w:sz w:val="23"/>
                      <w:szCs w:val="23"/>
                    </w:rPr>
                    <w:t xml:space="preserve"> mieszka</w:t>
                  </w:r>
                  <w:r w:rsidR="00921347">
                    <w:rPr>
                      <w:sz w:val="23"/>
                      <w:szCs w:val="23"/>
                    </w:rPr>
                    <w:t>nia</w:t>
                  </w:r>
                  <w:r w:rsidRPr="0068005F">
                    <w:rPr>
                      <w:sz w:val="23"/>
                      <w:szCs w:val="23"/>
                    </w:rPr>
                    <w:t xml:space="preserve">, tj. o </w:t>
                  </w:r>
                  <w:r w:rsidR="00921347">
                    <w:rPr>
                      <w:sz w:val="23"/>
                      <w:szCs w:val="23"/>
                    </w:rPr>
                    <w:t>8</w:t>
                  </w:r>
                  <w:r w:rsidRPr="0068005F">
                    <w:rPr>
                      <w:sz w:val="23"/>
                      <w:szCs w:val="23"/>
                    </w:rPr>
                    <w:t>,</w:t>
                  </w:r>
                  <w:r w:rsidR="00921347">
                    <w:rPr>
                      <w:sz w:val="23"/>
                      <w:szCs w:val="23"/>
                    </w:rPr>
                    <w:t>4</w:t>
                  </w:r>
                  <w:r w:rsidRPr="0068005F">
                    <w:rPr>
                      <w:sz w:val="23"/>
                      <w:szCs w:val="23"/>
                    </w:rPr>
                    <w:t xml:space="preserve">% </w:t>
                  </w:r>
                  <w:r w:rsidR="00126C44">
                    <w:rPr>
                      <w:sz w:val="23"/>
                      <w:szCs w:val="23"/>
                    </w:rPr>
                    <w:t>więcej</w:t>
                  </w:r>
                  <w:r w:rsidRPr="0068005F">
                    <w:rPr>
                      <w:sz w:val="23"/>
                      <w:szCs w:val="23"/>
                    </w:rPr>
                    <w:t xml:space="preserve"> w porównaniu</w:t>
                  </w:r>
                  <w:r>
                    <w:rPr>
                      <w:sz w:val="23"/>
                      <w:szCs w:val="23"/>
                    </w:rPr>
                    <w:t xml:space="preserve"> z </w:t>
                  </w:r>
                  <w:r w:rsidRPr="0068005F">
                    <w:rPr>
                      <w:sz w:val="23"/>
                      <w:szCs w:val="23"/>
                    </w:rPr>
                    <w:t>201</w:t>
                  </w:r>
                  <w:r>
                    <w:rPr>
                      <w:sz w:val="23"/>
                      <w:szCs w:val="23"/>
                    </w:rPr>
                    <w:t>6</w:t>
                  </w:r>
                  <w:r w:rsidRPr="0068005F">
                    <w:rPr>
                      <w:sz w:val="23"/>
                      <w:szCs w:val="23"/>
                    </w:rPr>
                    <w:t xml:space="preserve"> r., w którym odnotowano </w:t>
                  </w:r>
                  <w:r>
                    <w:rPr>
                      <w:sz w:val="23"/>
                      <w:szCs w:val="23"/>
                    </w:rPr>
                    <w:t>wzrost</w:t>
                  </w:r>
                  <w:r w:rsidRPr="0068005F">
                    <w:rPr>
                      <w:sz w:val="23"/>
                      <w:szCs w:val="23"/>
                    </w:rPr>
                    <w:t xml:space="preserve"> o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="00126C44">
                    <w:rPr>
                      <w:sz w:val="23"/>
                      <w:szCs w:val="23"/>
                    </w:rPr>
                    <w:t>1</w:t>
                  </w:r>
                  <w:r w:rsidR="00AF6C76">
                    <w:rPr>
                      <w:sz w:val="23"/>
                      <w:szCs w:val="23"/>
                    </w:rPr>
                    <w:t>0</w:t>
                  </w:r>
                  <w:r w:rsidRPr="0068005F">
                    <w:rPr>
                      <w:sz w:val="23"/>
                      <w:szCs w:val="23"/>
                    </w:rPr>
                    <w:t>,</w:t>
                  </w:r>
                  <w:r w:rsidR="00921347">
                    <w:rPr>
                      <w:sz w:val="23"/>
                      <w:szCs w:val="23"/>
                    </w:rPr>
                    <w:t>6</w:t>
                  </w:r>
                  <w:r w:rsidRPr="0068005F">
                    <w:rPr>
                      <w:sz w:val="23"/>
                      <w:szCs w:val="23"/>
                    </w:rPr>
                    <w:t>%.</w:t>
                  </w:r>
                  <w:r w:rsidR="00177C27">
                    <w:rPr>
                      <w:sz w:val="23"/>
                      <w:szCs w:val="23"/>
                    </w:rPr>
                    <w:t xml:space="preserve"> </w:t>
                  </w:r>
                  <w:r w:rsidR="000F4468">
                    <w:rPr>
                      <w:sz w:val="23"/>
                      <w:szCs w:val="23"/>
                    </w:rPr>
                    <w:t xml:space="preserve">               </w:t>
                  </w:r>
                  <w:r w:rsidRPr="0068005F">
                    <w:rPr>
                      <w:sz w:val="23"/>
                      <w:szCs w:val="23"/>
                    </w:rPr>
                    <w:t xml:space="preserve">W okresie </w:t>
                  </w:r>
                  <w:r w:rsidR="00113229">
                    <w:rPr>
                      <w:sz w:val="23"/>
                      <w:szCs w:val="23"/>
                    </w:rPr>
                    <w:t>dzie</w:t>
                  </w:r>
                  <w:r w:rsidR="00E9631C">
                    <w:rPr>
                      <w:sz w:val="23"/>
                      <w:szCs w:val="23"/>
                    </w:rPr>
                    <w:t>sięciu</w:t>
                  </w:r>
                  <w:r w:rsidRPr="0068005F">
                    <w:rPr>
                      <w:sz w:val="23"/>
                      <w:szCs w:val="23"/>
                    </w:rPr>
                    <w:t xml:space="preserve"> miesięcy 201</w:t>
                  </w:r>
                  <w:r>
                    <w:rPr>
                      <w:sz w:val="23"/>
                      <w:szCs w:val="23"/>
                    </w:rPr>
                    <w:t>7</w:t>
                  </w:r>
                  <w:r w:rsidRPr="0068005F">
                    <w:rPr>
                      <w:sz w:val="23"/>
                      <w:szCs w:val="23"/>
                    </w:rPr>
                    <w:t xml:space="preserve"> r. wydano </w:t>
                  </w:r>
                  <w:r w:rsidRPr="00F57402">
                    <w:rPr>
                      <w:sz w:val="23"/>
                      <w:szCs w:val="23"/>
                    </w:rPr>
                    <w:t xml:space="preserve">pozwolenia lub dokonano zgłoszenia z projektem budowlanym na budowę </w:t>
                  </w:r>
                  <w:r w:rsidR="00AF6C76">
                    <w:rPr>
                      <w:sz w:val="23"/>
                      <w:szCs w:val="23"/>
                    </w:rPr>
                    <w:t>2</w:t>
                  </w:r>
                  <w:r w:rsidR="00921347">
                    <w:rPr>
                      <w:sz w:val="23"/>
                      <w:szCs w:val="23"/>
                    </w:rPr>
                    <w:t>13218</w:t>
                  </w:r>
                  <w:r w:rsidRPr="00F57402">
                    <w:rPr>
                      <w:sz w:val="23"/>
                      <w:szCs w:val="23"/>
                    </w:rPr>
                    <w:t xml:space="preserve"> mieszka</w:t>
                  </w:r>
                  <w:r>
                    <w:rPr>
                      <w:sz w:val="23"/>
                      <w:szCs w:val="23"/>
                    </w:rPr>
                    <w:t>ń</w:t>
                  </w:r>
                  <w:r w:rsidRPr="00F57402">
                    <w:rPr>
                      <w:sz w:val="23"/>
                      <w:szCs w:val="23"/>
                    </w:rPr>
                    <w:t xml:space="preserve">, tj. o </w:t>
                  </w:r>
                  <w:r w:rsidR="0059589A">
                    <w:rPr>
                      <w:sz w:val="23"/>
                      <w:szCs w:val="23"/>
                    </w:rPr>
                    <w:t>2</w:t>
                  </w:r>
                  <w:r w:rsidR="00921347">
                    <w:rPr>
                      <w:sz w:val="23"/>
                      <w:szCs w:val="23"/>
                    </w:rPr>
                    <w:t>2</w:t>
                  </w:r>
                  <w:r w:rsidRPr="00F57402">
                    <w:rPr>
                      <w:sz w:val="23"/>
                      <w:szCs w:val="23"/>
                    </w:rPr>
                    <w:t>,</w:t>
                  </w:r>
                  <w:r w:rsidR="00921347">
                    <w:rPr>
                      <w:sz w:val="23"/>
                      <w:szCs w:val="23"/>
                    </w:rPr>
                    <w:t>5</w:t>
                  </w:r>
                  <w:r w:rsidRPr="00F57402">
                    <w:rPr>
                      <w:sz w:val="23"/>
                      <w:szCs w:val="23"/>
                    </w:rPr>
                    <w:t xml:space="preserve">% więcej niż </w:t>
                  </w:r>
                  <w:r w:rsidR="00391FE3">
                    <w:rPr>
                      <w:sz w:val="23"/>
                      <w:szCs w:val="23"/>
                    </w:rPr>
                    <w:t xml:space="preserve">w </w:t>
                  </w:r>
                  <w:r w:rsidRPr="0068005F">
                    <w:rPr>
                      <w:sz w:val="23"/>
                      <w:szCs w:val="23"/>
                    </w:rPr>
                    <w:t>201</w:t>
                  </w:r>
                  <w:r>
                    <w:rPr>
                      <w:sz w:val="23"/>
                      <w:szCs w:val="23"/>
                    </w:rPr>
                    <w:t>6</w:t>
                  </w:r>
                  <w:r w:rsidRPr="0068005F">
                    <w:rPr>
                      <w:sz w:val="23"/>
                      <w:szCs w:val="23"/>
                    </w:rPr>
                    <w:t xml:space="preserve"> r. (</w:t>
                  </w:r>
                  <w:r w:rsidR="008F02B2">
                    <w:rPr>
                      <w:sz w:val="23"/>
                      <w:szCs w:val="23"/>
                    </w:rPr>
                    <w:t xml:space="preserve">kiedy notowano wzrost      </w:t>
                  </w:r>
                  <w:r w:rsidRPr="0068005F">
                    <w:rPr>
                      <w:sz w:val="23"/>
                      <w:szCs w:val="23"/>
                    </w:rPr>
                    <w:t xml:space="preserve"> o </w:t>
                  </w:r>
                  <w:r w:rsidR="004D6056">
                    <w:rPr>
                      <w:sz w:val="23"/>
                      <w:szCs w:val="23"/>
                    </w:rPr>
                    <w:t>1</w:t>
                  </w:r>
                  <w:r w:rsidR="00921347">
                    <w:rPr>
                      <w:sz w:val="23"/>
                      <w:szCs w:val="23"/>
                    </w:rPr>
                    <w:t>0</w:t>
                  </w:r>
                  <w:r w:rsidRPr="0068005F">
                    <w:rPr>
                      <w:sz w:val="23"/>
                      <w:szCs w:val="23"/>
                    </w:rPr>
                    <w:t>,</w:t>
                  </w:r>
                  <w:r w:rsidR="00921347">
                    <w:rPr>
                      <w:sz w:val="23"/>
                      <w:szCs w:val="23"/>
                    </w:rPr>
                    <w:t>5</w:t>
                  </w:r>
                  <w:r w:rsidRPr="0068005F">
                    <w:rPr>
                      <w:sz w:val="23"/>
                      <w:szCs w:val="23"/>
                    </w:rPr>
                    <w:t xml:space="preserve">%). Wzrosła również liczba mieszkań, których budowę rozpoczęto – do </w:t>
                  </w:r>
                  <w:r w:rsidR="008D6925">
                    <w:rPr>
                      <w:sz w:val="23"/>
                      <w:szCs w:val="23"/>
                    </w:rPr>
                    <w:t>1</w:t>
                  </w:r>
                  <w:r w:rsidR="00921347">
                    <w:rPr>
                      <w:sz w:val="23"/>
                      <w:szCs w:val="23"/>
                    </w:rPr>
                    <w:t>77125</w:t>
                  </w:r>
                  <w:r w:rsidRPr="0068005F">
                    <w:rPr>
                      <w:sz w:val="23"/>
                      <w:szCs w:val="23"/>
                    </w:rPr>
                    <w:t>, tj.</w:t>
                  </w:r>
                  <w:r w:rsidR="005E6DE7">
                    <w:rPr>
                      <w:sz w:val="23"/>
                      <w:szCs w:val="23"/>
                    </w:rPr>
                    <w:t xml:space="preserve"> </w:t>
                  </w:r>
                  <w:r w:rsidRPr="0068005F">
                    <w:rPr>
                      <w:sz w:val="23"/>
                      <w:szCs w:val="23"/>
                    </w:rPr>
                    <w:t xml:space="preserve">o </w:t>
                  </w:r>
                  <w:r w:rsidR="00921347">
                    <w:rPr>
                      <w:sz w:val="23"/>
                      <w:szCs w:val="23"/>
                    </w:rPr>
                    <w:t>19</w:t>
                  </w:r>
                  <w:r w:rsidRPr="0068005F">
                    <w:rPr>
                      <w:sz w:val="23"/>
                      <w:szCs w:val="23"/>
                    </w:rPr>
                    <w:t>,</w:t>
                  </w:r>
                  <w:r w:rsidR="00921347">
                    <w:rPr>
                      <w:sz w:val="23"/>
                      <w:szCs w:val="23"/>
                    </w:rPr>
                    <w:t>2</w:t>
                  </w:r>
                  <w:r w:rsidRPr="0068005F">
                    <w:rPr>
                      <w:sz w:val="23"/>
                      <w:szCs w:val="23"/>
                    </w:rPr>
                    <w:t>% (</w:t>
                  </w:r>
                  <w:r w:rsidR="00ED4C36">
                    <w:rPr>
                      <w:sz w:val="23"/>
                      <w:szCs w:val="23"/>
                    </w:rPr>
                    <w:t>kiedy notowano</w:t>
                  </w:r>
                  <w:r w:rsidRPr="0068005F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>wzrost</w:t>
                  </w:r>
                  <w:r w:rsidRPr="0068005F">
                    <w:rPr>
                      <w:sz w:val="23"/>
                      <w:szCs w:val="23"/>
                    </w:rPr>
                    <w:t xml:space="preserve"> o </w:t>
                  </w:r>
                  <w:r w:rsidR="00921347">
                    <w:rPr>
                      <w:sz w:val="23"/>
                      <w:szCs w:val="23"/>
                    </w:rPr>
                    <w:t>4</w:t>
                  </w:r>
                  <w:r w:rsidRPr="0068005F">
                    <w:rPr>
                      <w:sz w:val="23"/>
                      <w:szCs w:val="23"/>
                    </w:rPr>
                    <w:t>,</w:t>
                  </w:r>
                  <w:r w:rsidR="00921347">
                    <w:rPr>
                      <w:sz w:val="23"/>
                      <w:szCs w:val="23"/>
                    </w:rPr>
                    <w:t>3</w:t>
                  </w:r>
                  <w:r w:rsidRPr="0068005F">
                    <w:rPr>
                      <w:sz w:val="23"/>
                      <w:szCs w:val="23"/>
                    </w:rPr>
                    <w:t>%).</w:t>
                  </w:r>
                </w:p>
                <w:p w:rsidR="0092588B" w:rsidRPr="0068005F" w:rsidRDefault="0092588B" w:rsidP="00EE4091">
                  <w:pPr>
                    <w:spacing w:after="0" w:line="240" w:lineRule="auto"/>
                    <w:ind w:left="142" w:right="-110" w:firstLine="697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W okresie styczeń-</w:t>
                  </w:r>
                  <w:r w:rsidR="00E9631C">
                    <w:rPr>
                      <w:sz w:val="23"/>
                      <w:szCs w:val="23"/>
                    </w:rPr>
                    <w:t>październik</w:t>
                  </w:r>
                  <w:r>
                    <w:rPr>
                      <w:sz w:val="23"/>
                      <w:szCs w:val="23"/>
                    </w:rPr>
                    <w:t xml:space="preserve"> 2017 r. </w:t>
                  </w:r>
                  <w:r w:rsidRPr="00A907B9">
                    <w:rPr>
                      <w:b/>
                      <w:sz w:val="23"/>
                      <w:szCs w:val="23"/>
                    </w:rPr>
                    <w:t>inwestorzy indywidualni</w:t>
                  </w:r>
                  <w:r>
                    <w:rPr>
                      <w:sz w:val="23"/>
                      <w:szCs w:val="23"/>
                    </w:rPr>
                    <w:t xml:space="preserve"> oddali do użytkowania </w:t>
                  </w:r>
                  <w:r w:rsidR="00922483">
                    <w:rPr>
                      <w:sz w:val="23"/>
                      <w:szCs w:val="23"/>
                    </w:rPr>
                    <w:t>66070</w:t>
                  </w:r>
                  <w:r>
                    <w:rPr>
                      <w:sz w:val="23"/>
                      <w:szCs w:val="23"/>
                    </w:rPr>
                    <w:t xml:space="preserve"> mieszka</w:t>
                  </w:r>
                  <w:r w:rsidR="00922483">
                    <w:rPr>
                      <w:sz w:val="23"/>
                      <w:szCs w:val="23"/>
                    </w:rPr>
                    <w:t>ń</w:t>
                  </w:r>
                  <w:r w:rsidR="00296C98">
                    <w:rPr>
                      <w:sz w:val="23"/>
                      <w:szCs w:val="23"/>
                    </w:rPr>
                    <w:t xml:space="preserve"> (co stanowiło 47,4% ogólnej liczby mieszkań oddanych do użytkowania),</w:t>
                  </w:r>
                  <w:r>
                    <w:rPr>
                      <w:sz w:val="23"/>
                      <w:szCs w:val="23"/>
                    </w:rPr>
                    <w:t xml:space="preserve"> tj. o </w:t>
                  </w:r>
                  <w:r w:rsidR="00922483">
                    <w:rPr>
                      <w:sz w:val="23"/>
                      <w:szCs w:val="23"/>
                    </w:rPr>
                    <w:t>6</w:t>
                  </w:r>
                  <w:r>
                    <w:rPr>
                      <w:sz w:val="23"/>
                      <w:szCs w:val="23"/>
                    </w:rPr>
                    <w:t>,</w:t>
                  </w:r>
                  <w:r w:rsidR="00922483">
                    <w:rPr>
                      <w:sz w:val="23"/>
                      <w:szCs w:val="23"/>
                    </w:rPr>
                    <w:t>0</w:t>
                  </w:r>
                  <w:r>
                    <w:rPr>
                      <w:sz w:val="23"/>
                      <w:szCs w:val="23"/>
                    </w:rPr>
                    <w:t>% więcej niż przed rokiem</w:t>
                  </w:r>
                  <w:r w:rsidR="00296C98">
                    <w:rPr>
                      <w:sz w:val="23"/>
                      <w:szCs w:val="23"/>
                    </w:rPr>
                    <w:t xml:space="preserve">, kiedy notowano spadek </w:t>
                  </w:r>
                  <w:r>
                    <w:rPr>
                      <w:sz w:val="23"/>
                      <w:szCs w:val="23"/>
                    </w:rPr>
                    <w:t xml:space="preserve">o </w:t>
                  </w:r>
                  <w:r w:rsidR="00922483">
                    <w:rPr>
                      <w:sz w:val="23"/>
                      <w:szCs w:val="23"/>
                    </w:rPr>
                    <w:t>3</w:t>
                  </w:r>
                  <w:r>
                    <w:rPr>
                      <w:sz w:val="23"/>
                      <w:szCs w:val="23"/>
                    </w:rPr>
                    <w:t>,</w:t>
                  </w:r>
                  <w:r w:rsidR="00922483">
                    <w:rPr>
                      <w:sz w:val="23"/>
                      <w:szCs w:val="23"/>
                    </w:rPr>
                    <w:t>3</w:t>
                  </w:r>
                  <w:r>
                    <w:rPr>
                      <w:sz w:val="23"/>
                      <w:szCs w:val="23"/>
                    </w:rPr>
                    <w:t>%</w:t>
                  </w:r>
                  <w:r w:rsidR="00296C98">
                    <w:rPr>
                      <w:sz w:val="23"/>
                      <w:szCs w:val="23"/>
                    </w:rPr>
                    <w:t xml:space="preserve">. </w:t>
                  </w:r>
                  <w:r w:rsidRPr="0068005F">
                    <w:rPr>
                      <w:sz w:val="23"/>
                      <w:szCs w:val="23"/>
                    </w:rPr>
                    <w:t>W tej grupie inwestorów w porównaniu z 201</w:t>
                  </w:r>
                  <w:r>
                    <w:rPr>
                      <w:sz w:val="23"/>
                      <w:szCs w:val="23"/>
                    </w:rPr>
                    <w:t>6</w:t>
                  </w:r>
                  <w:r w:rsidRPr="0068005F">
                    <w:rPr>
                      <w:sz w:val="23"/>
                      <w:szCs w:val="23"/>
                    </w:rPr>
                    <w:t xml:space="preserve"> r. odnotowano wzrost liczby mieszkań, na których budowę wydano </w:t>
                  </w:r>
                  <w:r w:rsidRPr="00F57402">
                    <w:rPr>
                      <w:sz w:val="23"/>
                      <w:szCs w:val="23"/>
                    </w:rPr>
                    <w:t xml:space="preserve">pozwolenia lub dokonano zgłoszenia </w:t>
                  </w:r>
                  <w:r>
                    <w:rPr>
                      <w:sz w:val="23"/>
                      <w:szCs w:val="23"/>
                    </w:rPr>
                    <w:t xml:space="preserve">  </w:t>
                  </w:r>
                  <w:r w:rsidRPr="00F57402">
                    <w:rPr>
                      <w:sz w:val="23"/>
                      <w:szCs w:val="23"/>
                    </w:rPr>
                    <w:t>z projektem budowlanym – do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="00922483">
                    <w:rPr>
                      <w:sz w:val="23"/>
                      <w:szCs w:val="23"/>
                    </w:rPr>
                    <w:t>9</w:t>
                  </w:r>
                  <w:r w:rsidR="005003EA">
                    <w:rPr>
                      <w:sz w:val="23"/>
                      <w:szCs w:val="23"/>
                    </w:rPr>
                    <w:t>7</w:t>
                  </w:r>
                  <w:r w:rsidR="00922483">
                    <w:rPr>
                      <w:sz w:val="23"/>
                      <w:szCs w:val="23"/>
                    </w:rPr>
                    <w:t>966</w:t>
                  </w:r>
                  <w:r w:rsidRPr="00F57402">
                    <w:rPr>
                      <w:sz w:val="23"/>
                      <w:szCs w:val="23"/>
                    </w:rPr>
                    <w:t xml:space="preserve"> mieszkań, tj. o </w:t>
                  </w:r>
                  <w:r w:rsidR="005003EA">
                    <w:rPr>
                      <w:sz w:val="23"/>
                      <w:szCs w:val="23"/>
                    </w:rPr>
                    <w:t>1</w:t>
                  </w:r>
                  <w:r w:rsidR="00922483">
                    <w:rPr>
                      <w:sz w:val="23"/>
                      <w:szCs w:val="23"/>
                    </w:rPr>
                    <w:t>8</w:t>
                  </w:r>
                  <w:r w:rsidRPr="00F57402">
                    <w:rPr>
                      <w:sz w:val="23"/>
                      <w:szCs w:val="23"/>
                    </w:rPr>
                    <w:t>,</w:t>
                  </w:r>
                  <w:r w:rsidR="00922483">
                    <w:rPr>
                      <w:sz w:val="23"/>
                      <w:szCs w:val="23"/>
                    </w:rPr>
                    <w:t>8</w:t>
                  </w:r>
                  <w:r w:rsidRPr="00F57402">
                    <w:rPr>
                      <w:sz w:val="23"/>
                      <w:szCs w:val="23"/>
                    </w:rPr>
                    <w:t>% (</w:t>
                  </w:r>
                  <w:r w:rsidR="008F02B2">
                    <w:rPr>
                      <w:sz w:val="23"/>
                      <w:szCs w:val="23"/>
                    </w:rPr>
                    <w:t xml:space="preserve">kiedy notowano wzrost </w:t>
                  </w:r>
                  <w:r w:rsidRPr="0068005F">
                    <w:rPr>
                      <w:sz w:val="23"/>
                      <w:szCs w:val="23"/>
                    </w:rPr>
                    <w:t xml:space="preserve"> o </w:t>
                  </w:r>
                  <w:r w:rsidR="005003EA">
                    <w:rPr>
                      <w:sz w:val="23"/>
                      <w:szCs w:val="23"/>
                    </w:rPr>
                    <w:t>10</w:t>
                  </w:r>
                  <w:r>
                    <w:rPr>
                      <w:sz w:val="23"/>
                      <w:szCs w:val="23"/>
                    </w:rPr>
                    <w:t>,</w:t>
                  </w:r>
                  <w:r w:rsidR="00922483">
                    <w:rPr>
                      <w:sz w:val="23"/>
                      <w:szCs w:val="23"/>
                    </w:rPr>
                    <w:t>7</w:t>
                  </w:r>
                  <w:r w:rsidRPr="0068005F">
                    <w:rPr>
                      <w:sz w:val="23"/>
                      <w:szCs w:val="23"/>
                    </w:rPr>
                    <w:t xml:space="preserve">%). Wzrosła również liczba mieszkań, których budowę rozpoczęto – do </w:t>
                  </w:r>
                  <w:r w:rsidR="00922483">
                    <w:rPr>
                      <w:sz w:val="23"/>
                      <w:szCs w:val="23"/>
                    </w:rPr>
                    <w:t>84820</w:t>
                  </w:r>
                  <w:r w:rsidRPr="0068005F">
                    <w:rPr>
                      <w:sz w:val="23"/>
                      <w:szCs w:val="23"/>
                    </w:rPr>
                    <w:t xml:space="preserve"> mieszkań, tj. o</w:t>
                  </w:r>
                  <w:r>
                    <w:rPr>
                      <w:sz w:val="23"/>
                      <w:szCs w:val="23"/>
                    </w:rPr>
                    <w:t xml:space="preserve"> 1</w:t>
                  </w:r>
                  <w:r w:rsidR="00922483">
                    <w:rPr>
                      <w:sz w:val="23"/>
                      <w:szCs w:val="23"/>
                    </w:rPr>
                    <w:t>5</w:t>
                  </w:r>
                  <w:r w:rsidRPr="0068005F">
                    <w:rPr>
                      <w:sz w:val="23"/>
                      <w:szCs w:val="23"/>
                    </w:rPr>
                    <w:t>,</w:t>
                  </w:r>
                  <w:r w:rsidR="00922483">
                    <w:rPr>
                      <w:sz w:val="23"/>
                      <w:szCs w:val="23"/>
                    </w:rPr>
                    <w:t>4</w:t>
                  </w:r>
                  <w:r w:rsidRPr="0068005F">
                    <w:rPr>
                      <w:sz w:val="23"/>
                      <w:szCs w:val="23"/>
                    </w:rPr>
                    <w:t>% (</w:t>
                  </w:r>
                  <w:r w:rsidR="007E752D">
                    <w:rPr>
                      <w:sz w:val="23"/>
                      <w:szCs w:val="23"/>
                    </w:rPr>
                    <w:t>kiedy notowano</w:t>
                  </w:r>
                  <w:r w:rsidRPr="0068005F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>wzrost</w:t>
                  </w:r>
                  <w:r w:rsidRPr="0068005F">
                    <w:rPr>
                      <w:sz w:val="23"/>
                      <w:szCs w:val="23"/>
                    </w:rPr>
                    <w:t xml:space="preserve"> o </w:t>
                  </w:r>
                  <w:r w:rsidR="00922483">
                    <w:rPr>
                      <w:sz w:val="23"/>
                      <w:szCs w:val="23"/>
                    </w:rPr>
                    <w:t>5</w:t>
                  </w:r>
                  <w:r>
                    <w:rPr>
                      <w:sz w:val="23"/>
                      <w:szCs w:val="23"/>
                    </w:rPr>
                    <w:t>,</w:t>
                  </w:r>
                  <w:r w:rsidR="00922483">
                    <w:rPr>
                      <w:sz w:val="23"/>
                      <w:szCs w:val="23"/>
                    </w:rPr>
                    <w:t>1</w:t>
                  </w:r>
                  <w:r>
                    <w:rPr>
                      <w:sz w:val="23"/>
                      <w:szCs w:val="23"/>
                    </w:rPr>
                    <w:t>%)</w:t>
                  </w:r>
                  <w:r w:rsidRPr="0068005F">
                    <w:rPr>
                      <w:sz w:val="23"/>
                      <w:szCs w:val="23"/>
                    </w:rPr>
                    <w:t>.</w:t>
                  </w:r>
                </w:p>
                <w:p w:rsidR="0092588B" w:rsidRPr="0068005F" w:rsidRDefault="0092588B" w:rsidP="00BA57FE">
                  <w:pPr>
                    <w:spacing w:after="0" w:line="240" w:lineRule="auto"/>
                    <w:ind w:left="142" w:right="-110" w:firstLine="697"/>
                    <w:jc w:val="both"/>
                    <w:rPr>
                      <w:sz w:val="23"/>
                      <w:szCs w:val="23"/>
                    </w:rPr>
                  </w:pPr>
                  <w:r w:rsidRPr="0068005F">
                    <w:rPr>
                      <w:b/>
                      <w:sz w:val="23"/>
                      <w:szCs w:val="23"/>
                    </w:rPr>
                    <w:t>Deweloperzy</w:t>
                  </w:r>
                  <w:r w:rsidRPr="0068005F">
                    <w:rPr>
                      <w:sz w:val="23"/>
                      <w:szCs w:val="23"/>
                    </w:rPr>
                    <w:t xml:space="preserve"> w okresie </w:t>
                  </w:r>
                  <w:r w:rsidR="00517F59">
                    <w:rPr>
                      <w:sz w:val="23"/>
                      <w:szCs w:val="23"/>
                    </w:rPr>
                    <w:t>dzie</w:t>
                  </w:r>
                  <w:r w:rsidR="00E9631C">
                    <w:rPr>
                      <w:sz w:val="23"/>
                      <w:szCs w:val="23"/>
                    </w:rPr>
                    <w:t>sięciu</w:t>
                  </w:r>
                  <w:r w:rsidRPr="0068005F">
                    <w:rPr>
                      <w:sz w:val="23"/>
                      <w:szCs w:val="23"/>
                    </w:rPr>
                    <w:t xml:space="preserve"> miesięcy 201</w:t>
                  </w:r>
                  <w:r>
                    <w:rPr>
                      <w:sz w:val="23"/>
                      <w:szCs w:val="23"/>
                    </w:rPr>
                    <w:t>7</w:t>
                  </w:r>
                  <w:r w:rsidRPr="0068005F">
                    <w:rPr>
                      <w:sz w:val="23"/>
                      <w:szCs w:val="23"/>
                    </w:rPr>
                    <w:t xml:space="preserve"> r. oddali do użytkowania </w:t>
                  </w:r>
                  <w:r w:rsidR="005E239F">
                    <w:rPr>
                      <w:sz w:val="23"/>
                      <w:szCs w:val="23"/>
                    </w:rPr>
                    <w:t>68</w:t>
                  </w:r>
                  <w:r w:rsidR="00922483">
                    <w:rPr>
                      <w:sz w:val="23"/>
                      <w:szCs w:val="23"/>
                    </w:rPr>
                    <w:t>910</w:t>
                  </w:r>
                  <w:r w:rsidRPr="0068005F">
                    <w:rPr>
                      <w:sz w:val="23"/>
                      <w:szCs w:val="23"/>
                    </w:rPr>
                    <w:t xml:space="preserve"> mieszka</w:t>
                  </w:r>
                  <w:r w:rsidR="0059589A">
                    <w:rPr>
                      <w:sz w:val="23"/>
                      <w:szCs w:val="23"/>
                    </w:rPr>
                    <w:t>ń</w:t>
                  </w:r>
                  <w:r w:rsidR="00296C98">
                    <w:rPr>
                      <w:sz w:val="23"/>
                      <w:szCs w:val="23"/>
                    </w:rPr>
                    <w:t xml:space="preserve"> (co stanowiło 49,4% ogólnej liczby mieszkań oddanych do użytkowania), tj. o 11,8% więcej niż w 2016 r., kiedy notowano wzrost o 28,7%.</w:t>
                  </w:r>
                  <w:r w:rsidR="00CE0544">
                    <w:rPr>
                      <w:sz w:val="23"/>
                      <w:szCs w:val="23"/>
                    </w:rPr>
                    <w:t xml:space="preserve"> </w:t>
                  </w:r>
                  <w:r w:rsidRPr="0068005F">
                    <w:rPr>
                      <w:sz w:val="23"/>
                      <w:szCs w:val="23"/>
                    </w:rPr>
                    <w:t xml:space="preserve">Inwestorzy budujący na sprzedaż lub wynajem uzyskali pozwolenia </w:t>
                  </w:r>
                  <w:r w:rsidRPr="00F57402">
                    <w:rPr>
                      <w:sz w:val="23"/>
                      <w:szCs w:val="23"/>
                    </w:rPr>
                    <w:t xml:space="preserve">na budowę </w:t>
                  </w:r>
                  <w:r w:rsidR="00DA30D7">
                    <w:rPr>
                      <w:sz w:val="23"/>
                      <w:szCs w:val="23"/>
                    </w:rPr>
                    <w:t>10</w:t>
                  </w:r>
                  <w:r w:rsidR="005E239F">
                    <w:rPr>
                      <w:sz w:val="23"/>
                      <w:szCs w:val="23"/>
                    </w:rPr>
                    <w:t>9</w:t>
                  </w:r>
                  <w:r w:rsidR="00DA30D7">
                    <w:rPr>
                      <w:sz w:val="23"/>
                      <w:szCs w:val="23"/>
                    </w:rPr>
                    <w:t>715</w:t>
                  </w:r>
                  <w:r w:rsidRPr="00F57402">
                    <w:rPr>
                      <w:sz w:val="23"/>
                      <w:szCs w:val="23"/>
                    </w:rPr>
                    <w:t xml:space="preserve"> mieszkań, tj. o </w:t>
                  </w:r>
                  <w:r w:rsidR="005E239F">
                    <w:rPr>
                      <w:sz w:val="23"/>
                      <w:szCs w:val="23"/>
                    </w:rPr>
                    <w:t>2</w:t>
                  </w:r>
                  <w:r w:rsidR="00DA30D7">
                    <w:rPr>
                      <w:sz w:val="23"/>
                      <w:szCs w:val="23"/>
                    </w:rPr>
                    <w:t>7</w:t>
                  </w:r>
                  <w:r>
                    <w:rPr>
                      <w:sz w:val="23"/>
                      <w:szCs w:val="23"/>
                    </w:rPr>
                    <w:t>,</w:t>
                  </w:r>
                  <w:r w:rsidR="00DA30D7">
                    <w:rPr>
                      <w:sz w:val="23"/>
                      <w:szCs w:val="23"/>
                    </w:rPr>
                    <w:t>2</w:t>
                  </w:r>
                  <w:r w:rsidRPr="00F57402">
                    <w:rPr>
                      <w:sz w:val="23"/>
                      <w:szCs w:val="23"/>
                    </w:rPr>
                    <w:t xml:space="preserve">% więcej niż przed rokiem (kiedy notowano wzrost o </w:t>
                  </w:r>
                  <w:r w:rsidR="00DA30D7">
                    <w:rPr>
                      <w:sz w:val="23"/>
                      <w:szCs w:val="23"/>
                    </w:rPr>
                    <w:t>8</w:t>
                  </w:r>
                  <w:r w:rsidRPr="0068005F">
                    <w:rPr>
                      <w:sz w:val="23"/>
                      <w:szCs w:val="23"/>
                    </w:rPr>
                    <w:t>,</w:t>
                  </w:r>
                  <w:r w:rsidR="00DA30D7">
                    <w:rPr>
                      <w:sz w:val="23"/>
                      <w:szCs w:val="23"/>
                    </w:rPr>
                    <w:t>1</w:t>
                  </w:r>
                  <w:r w:rsidRPr="0068005F">
                    <w:rPr>
                      <w:sz w:val="23"/>
                      <w:szCs w:val="23"/>
                    </w:rPr>
                    <w:t>%).</w:t>
                  </w:r>
                  <w:r>
                    <w:rPr>
                      <w:sz w:val="23"/>
                      <w:szCs w:val="23"/>
                    </w:rPr>
                    <w:t xml:space="preserve"> Wzrosła również liczba mieszkań</w:t>
                  </w:r>
                  <w:r w:rsidRPr="0068005F">
                    <w:rPr>
                      <w:sz w:val="23"/>
                      <w:szCs w:val="23"/>
                    </w:rPr>
                    <w:t xml:space="preserve">, których budowę rozpoczęto do </w:t>
                  </w:r>
                  <w:r w:rsidR="00DA30D7">
                    <w:rPr>
                      <w:sz w:val="23"/>
                      <w:szCs w:val="23"/>
                    </w:rPr>
                    <w:t>8</w:t>
                  </w:r>
                  <w:r w:rsidR="00371AAF">
                    <w:rPr>
                      <w:sz w:val="23"/>
                      <w:szCs w:val="23"/>
                    </w:rPr>
                    <w:t>7</w:t>
                  </w:r>
                  <w:r w:rsidR="00DA30D7">
                    <w:rPr>
                      <w:sz w:val="23"/>
                      <w:szCs w:val="23"/>
                    </w:rPr>
                    <w:t>311</w:t>
                  </w:r>
                  <w:r w:rsidRPr="0068005F">
                    <w:rPr>
                      <w:sz w:val="23"/>
                      <w:szCs w:val="23"/>
                    </w:rPr>
                    <w:t xml:space="preserve"> mieszkań, tj. o </w:t>
                  </w:r>
                  <w:r w:rsidR="00BC5F3B">
                    <w:rPr>
                      <w:sz w:val="23"/>
                      <w:szCs w:val="23"/>
                    </w:rPr>
                    <w:t>2</w:t>
                  </w:r>
                  <w:r w:rsidR="00DA30D7">
                    <w:rPr>
                      <w:sz w:val="23"/>
                      <w:szCs w:val="23"/>
                    </w:rPr>
                    <w:t>3</w:t>
                  </w:r>
                  <w:r w:rsidR="00CC2D84">
                    <w:rPr>
                      <w:sz w:val="23"/>
                      <w:szCs w:val="23"/>
                    </w:rPr>
                    <w:t>,</w:t>
                  </w:r>
                  <w:r w:rsidR="00DA30D7">
                    <w:rPr>
                      <w:sz w:val="23"/>
                      <w:szCs w:val="23"/>
                    </w:rPr>
                    <w:t>0</w:t>
                  </w:r>
                  <w:r w:rsidRPr="0068005F">
                    <w:rPr>
                      <w:sz w:val="23"/>
                      <w:szCs w:val="23"/>
                    </w:rPr>
                    <w:t>% (</w:t>
                  </w:r>
                  <w:r w:rsidR="00CE0544">
                    <w:rPr>
                      <w:sz w:val="23"/>
                      <w:szCs w:val="23"/>
                    </w:rPr>
                    <w:t>kiedy notowano</w:t>
                  </w:r>
                  <w:r w:rsidRPr="0068005F">
                    <w:rPr>
                      <w:sz w:val="23"/>
                      <w:szCs w:val="23"/>
                    </w:rPr>
                    <w:t xml:space="preserve"> </w:t>
                  </w:r>
                  <w:r w:rsidR="007E4DC7">
                    <w:rPr>
                      <w:sz w:val="23"/>
                      <w:szCs w:val="23"/>
                    </w:rPr>
                    <w:t>wzrost</w:t>
                  </w:r>
                  <w:r w:rsidRPr="0068005F">
                    <w:rPr>
                      <w:sz w:val="23"/>
                      <w:szCs w:val="23"/>
                    </w:rPr>
                    <w:t xml:space="preserve"> o </w:t>
                  </w:r>
                  <w:r w:rsidR="00DA30D7">
                    <w:rPr>
                      <w:sz w:val="23"/>
                      <w:szCs w:val="23"/>
                    </w:rPr>
                    <w:t>1</w:t>
                  </w:r>
                  <w:r w:rsidRPr="0068005F">
                    <w:rPr>
                      <w:sz w:val="23"/>
                      <w:szCs w:val="23"/>
                    </w:rPr>
                    <w:t>,</w:t>
                  </w:r>
                  <w:r w:rsidR="00DA30D7">
                    <w:rPr>
                      <w:sz w:val="23"/>
                      <w:szCs w:val="23"/>
                    </w:rPr>
                    <w:t>3</w:t>
                  </w:r>
                  <w:r w:rsidRPr="0068005F">
                    <w:rPr>
                      <w:sz w:val="23"/>
                      <w:szCs w:val="23"/>
                    </w:rPr>
                    <w:t>%).</w:t>
                  </w:r>
                  <w:r>
                    <w:rPr>
                      <w:sz w:val="23"/>
                      <w:szCs w:val="23"/>
                    </w:rPr>
                    <w:t xml:space="preserve">  </w:t>
                  </w:r>
                </w:p>
                <w:p w:rsidR="0092588B" w:rsidRDefault="0092588B" w:rsidP="00BA57FE">
                  <w:pPr>
                    <w:spacing w:after="0" w:line="240" w:lineRule="auto"/>
                    <w:ind w:left="142" w:right="-110" w:firstLine="697"/>
                    <w:jc w:val="both"/>
                    <w:rPr>
                      <w:sz w:val="23"/>
                      <w:szCs w:val="23"/>
                    </w:rPr>
                  </w:pPr>
                  <w:r w:rsidRPr="0068005F">
                    <w:rPr>
                      <w:b/>
                      <w:sz w:val="23"/>
                      <w:szCs w:val="23"/>
                    </w:rPr>
                    <w:t>Spółdzielnie</w:t>
                  </w:r>
                  <w:r w:rsidRPr="0068005F">
                    <w:rPr>
                      <w:sz w:val="23"/>
                      <w:szCs w:val="23"/>
                    </w:rPr>
                    <w:t xml:space="preserve"> mieszkaniowe w okresie </w:t>
                  </w:r>
                  <w:r w:rsidR="00517F59">
                    <w:rPr>
                      <w:sz w:val="23"/>
                      <w:szCs w:val="23"/>
                    </w:rPr>
                    <w:t>dzie</w:t>
                  </w:r>
                  <w:r w:rsidR="00E9631C">
                    <w:rPr>
                      <w:sz w:val="23"/>
                      <w:szCs w:val="23"/>
                    </w:rPr>
                    <w:t>sięciu</w:t>
                  </w:r>
                  <w:r w:rsidRPr="0068005F">
                    <w:rPr>
                      <w:sz w:val="23"/>
                      <w:szCs w:val="23"/>
                    </w:rPr>
                    <w:t xml:space="preserve"> miesięcy 201</w:t>
                  </w:r>
                  <w:r>
                    <w:rPr>
                      <w:sz w:val="23"/>
                      <w:szCs w:val="23"/>
                    </w:rPr>
                    <w:t>7</w:t>
                  </w:r>
                  <w:r w:rsidRPr="0068005F">
                    <w:rPr>
                      <w:sz w:val="23"/>
                      <w:szCs w:val="23"/>
                    </w:rPr>
                    <w:t xml:space="preserve"> r. oddały do użytkowania </w:t>
                  </w:r>
                  <w:r w:rsidR="005F485E">
                    <w:rPr>
                      <w:sz w:val="23"/>
                      <w:szCs w:val="23"/>
                    </w:rPr>
                    <w:t>18</w:t>
                  </w:r>
                  <w:r w:rsidR="00DA30D7">
                    <w:rPr>
                      <w:sz w:val="23"/>
                      <w:szCs w:val="23"/>
                    </w:rPr>
                    <w:t>72</w:t>
                  </w:r>
                  <w:r w:rsidRPr="0068005F">
                    <w:rPr>
                      <w:sz w:val="23"/>
                      <w:szCs w:val="23"/>
                    </w:rPr>
                    <w:t xml:space="preserve"> mieszka</w:t>
                  </w:r>
                  <w:r w:rsidR="00DA30D7">
                    <w:rPr>
                      <w:sz w:val="23"/>
                      <w:szCs w:val="23"/>
                    </w:rPr>
                    <w:t>nia</w:t>
                  </w:r>
                  <w:r w:rsidR="00690265">
                    <w:rPr>
                      <w:sz w:val="23"/>
                      <w:szCs w:val="23"/>
                    </w:rPr>
                    <w:t xml:space="preserve"> </w:t>
                  </w:r>
                  <w:r w:rsidRPr="0068005F">
                    <w:rPr>
                      <w:sz w:val="23"/>
                      <w:szCs w:val="23"/>
                    </w:rPr>
                    <w:t xml:space="preserve">wobec </w:t>
                  </w:r>
                  <w:r w:rsidR="00DA30D7">
                    <w:rPr>
                      <w:sz w:val="23"/>
                      <w:szCs w:val="23"/>
                    </w:rPr>
                    <w:t>2152</w:t>
                  </w:r>
                  <w:r w:rsidRPr="0068005F">
                    <w:rPr>
                      <w:sz w:val="23"/>
                      <w:szCs w:val="23"/>
                    </w:rPr>
                    <w:t xml:space="preserve"> mieszkań przed rokiem. </w:t>
                  </w:r>
                  <w:r w:rsidR="00DA30D7">
                    <w:rPr>
                      <w:sz w:val="23"/>
                      <w:szCs w:val="23"/>
                    </w:rPr>
                    <w:t>Spadła również</w:t>
                  </w:r>
                  <w:r w:rsidR="00DF446F">
                    <w:rPr>
                      <w:sz w:val="23"/>
                      <w:szCs w:val="23"/>
                    </w:rPr>
                    <w:t xml:space="preserve"> liczba mieszkań na </w:t>
                  </w:r>
                  <w:r w:rsidR="00DF446F" w:rsidRPr="0068005F">
                    <w:rPr>
                      <w:sz w:val="23"/>
                      <w:szCs w:val="23"/>
                    </w:rPr>
                    <w:t xml:space="preserve">których budowę  </w:t>
                  </w:r>
                  <w:r w:rsidR="00DF446F">
                    <w:rPr>
                      <w:sz w:val="23"/>
                      <w:szCs w:val="23"/>
                    </w:rPr>
                    <w:t xml:space="preserve">wydano pozwolenia </w:t>
                  </w:r>
                  <w:r w:rsidR="00DF446F" w:rsidRPr="0068005F">
                    <w:rPr>
                      <w:sz w:val="23"/>
                      <w:szCs w:val="23"/>
                    </w:rPr>
                    <w:t xml:space="preserve"> - do </w:t>
                  </w:r>
                  <w:r w:rsidR="00DF446F">
                    <w:rPr>
                      <w:sz w:val="23"/>
                      <w:szCs w:val="23"/>
                    </w:rPr>
                    <w:t>121</w:t>
                  </w:r>
                  <w:r w:rsidR="00DA30D7">
                    <w:rPr>
                      <w:sz w:val="23"/>
                      <w:szCs w:val="23"/>
                    </w:rPr>
                    <w:t>6</w:t>
                  </w:r>
                  <w:r w:rsidR="00DF446F" w:rsidRPr="0068005F">
                    <w:rPr>
                      <w:sz w:val="23"/>
                      <w:szCs w:val="23"/>
                    </w:rPr>
                    <w:t xml:space="preserve"> wobec </w:t>
                  </w:r>
                  <w:r w:rsidR="00DF446F">
                    <w:rPr>
                      <w:sz w:val="23"/>
                      <w:szCs w:val="23"/>
                    </w:rPr>
                    <w:t>1</w:t>
                  </w:r>
                  <w:r w:rsidR="00DA30D7">
                    <w:rPr>
                      <w:sz w:val="23"/>
                      <w:szCs w:val="23"/>
                    </w:rPr>
                    <w:t>34</w:t>
                  </w:r>
                  <w:r w:rsidR="00DF446F">
                    <w:rPr>
                      <w:sz w:val="23"/>
                      <w:szCs w:val="23"/>
                    </w:rPr>
                    <w:t xml:space="preserve">4 </w:t>
                  </w:r>
                  <w:r w:rsidR="00DF446F" w:rsidRPr="0068005F">
                    <w:rPr>
                      <w:sz w:val="23"/>
                      <w:szCs w:val="23"/>
                    </w:rPr>
                    <w:t>mieszkań</w:t>
                  </w:r>
                  <w:r w:rsidR="00DF446F">
                    <w:rPr>
                      <w:sz w:val="23"/>
                      <w:szCs w:val="23"/>
                    </w:rPr>
                    <w:t xml:space="preserve"> w roku poprzednim </w:t>
                  </w:r>
                  <w:r w:rsidR="00DA30D7">
                    <w:rPr>
                      <w:sz w:val="23"/>
                      <w:szCs w:val="23"/>
                    </w:rPr>
                    <w:t>natomiast wzrosła</w:t>
                  </w:r>
                  <w:r w:rsidR="00DF446F">
                    <w:rPr>
                      <w:sz w:val="23"/>
                      <w:szCs w:val="23"/>
                    </w:rPr>
                    <w:t xml:space="preserve"> </w:t>
                  </w:r>
                  <w:r w:rsidRPr="0068005F">
                    <w:rPr>
                      <w:sz w:val="23"/>
                      <w:szCs w:val="23"/>
                    </w:rPr>
                    <w:t xml:space="preserve">liczba mieszkań, których budowę </w:t>
                  </w:r>
                  <w:r>
                    <w:rPr>
                      <w:sz w:val="23"/>
                      <w:szCs w:val="23"/>
                    </w:rPr>
                    <w:t xml:space="preserve"> rozpoczęto – do </w:t>
                  </w:r>
                  <w:r w:rsidR="00DA30D7">
                    <w:rPr>
                      <w:sz w:val="23"/>
                      <w:szCs w:val="23"/>
                    </w:rPr>
                    <w:t>2314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F57402">
                    <w:rPr>
                      <w:sz w:val="23"/>
                      <w:szCs w:val="23"/>
                    </w:rPr>
                    <w:t xml:space="preserve">wobec </w:t>
                  </w:r>
                  <w:r w:rsidR="007E4DC7">
                    <w:rPr>
                      <w:sz w:val="23"/>
                      <w:szCs w:val="23"/>
                    </w:rPr>
                    <w:t>1</w:t>
                  </w:r>
                  <w:r w:rsidR="00DA30D7">
                    <w:rPr>
                      <w:sz w:val="23"/>
                      <w:szCs w:val="23"/>
                    </w:rPr>
                    <w:t>902</w:t>
                  </w:r>
                  <w:r w:rsidRPr="00F57402">
                    <w:rPr>
                      <w:sz w:val="23"/>
                      <w:szCs w:val="23"/>
                    </w:rPr>
                    <w:t xml:space="preserve"> mieszkań przed rokiem</w:t>
                  </w:r>
                  <w:r w:rsidR="00DF446F">
                    <w:rPr>
                      <w:sz w:val="23"/>
                      <w:szCs w:val="23"/>
                    </w:rPr>
                    <w:t>.</w:t>
                  </w:r>
                </w:p>
                <w:p w:rsidR="005F76BD" w:rsidRPr="0068005F" w:rsidRDefault="0092588B" w:rsidP="00BA57FE">
                  <w:pPr>
                    <w:spacing w:after="0" w:line="240" w:lineRule="auto"/>
                    <w:ind w:left="142" w:right="-110" w:firstLine="697"/>
                    <w:jc w:val="both"/>
                    <w:rPr>
                      <w:sz w:val="23"/>
                      <w:szCs w:val="23"/>
                    </w:rPr>
                  </w:pPr>
                  <w:r w:rsidRPr="0068005F">
                    <w:rPr>
                      <w:b/>
                      <w:sz w:val="23"/>
                      <w:szCs w:val="23"/>
                    </w:rPr>
                    <w:t>Pozostali</w:t>
                  </w:r>
                  <w:r w:rsidRPr="0068005F">
                    <w:rPr>
                      <w:sz w:val="23"/>
                      <w:szCs w:val="23"/>
                    </w:rPr>
                    <w:t xml:space="preserve"> </w:t>
                  </w:r>
                  <w:r w:rsidRPr="0068005F">
                    <w:rPr>
                      <w:b/>
                      <w:sz w:val="23"/>
                      <w:szCs w:val="23"/>
                    </w:rPr>
                    <w:t>inwestorzy</w:t>
                  </w:r>
                  <w:r w:rsidRPr="0068005F">
                    <w:rPr>
                      <w:sz w:val="23"/>
                      <w:szCs w:val="23"/>
                    </w:rPr>
                    <w:t xml:space="preserve"> (budownictwo </w:t>
                  </w:r>
                  <w:r w:rsidR="00371AAF">
                    <w:rPr>
                      <w:sz w:val="23"/>
                      <w:szCs w:val="23"/>
                    </w:rPr>
                    <w:t xml:space="preserve">społeczne czynszowe, </w:t>
                  </w:r>
                  <w:r w:rsidRPr="0068005F">
                    <w:rPr>
                      <w:sz w:val="23"/>
                      <w:szCs w:val="23"/>
                    </w:rPr>
                    <w:t xml:space="preserve">komunalne </w:t>
                  </w:r>
                  <w:r>
                    <w:rPr>
                      <w:sz w:val="23"/>
                      <w:szCs w:val="23"/>
                    </w:rPr>
                    <w:t>i zakładowe</w:t>
                  </w:r>
                  <w:r w:rsidRPr="0068005F">
                    <w:rPr>
                      <w:sz w:val="23"/>
                      <w:szCs w:val="23"/>
                    </w:rPr>
                    <w:t xml:space="preserve">) oddali do użytkowania w ciągu </w:t>
                  </w:r>
                  <w:r w:rsidR="00517F59">
                    <w:rPr>
                      <w:sz w:val="23"/>
                      <w:szCs w:val="23"/>
                    </w:rPr>
                    <w:t>dzie</w:t>
                  </w:r>
                  <w:r w:rsidR="00E9631C">
                    <w:rPr>
                      <w:sz w:val="23"/>
                      <w:szCs w:val="23"/>
                    </w:rPr>
                    <w:t>sięciu</w:t>
                  </w:r>
                  <w:r w:rsidRPr="0068005F">
                    <w:rPr>
                      <w:sz w:val="23"/>
                      <w:szCs w:val="23"/>
                    </w:rPr>
                    <w:t xml:space="preserve"> miesięcy 201</w:t>
                  </w:r>
                  <w:r>
                    <w:rPr>
                      <w:sz w:val="23"/>
                      <w:szCs w:val="23"/>
                    </w:rPr>
                    <w:t>7</w:t>
                  </w:r>
                  <w:r w:rsidRPr="0068005F">
                    <w:rPr>
                      <w:sz w:val="23"/>
                      <w:szCs w:val="23"/>
                    </w:rPr>
                    <w:t xml:space="preserve"> r. łącznie </w:t>
                  </w:r>
                  <w:r w:rsidR="00DF446F">
                    <w:rPr>
                      <w:sz w:val="23"/>
                      <w:szCs w:val="23"/>
                    </w:rPr>
                    <w:t>2</w:t>
                  </w:r>
                  <w:r w:rsidR="00DA30D7">
                    <w:rPr>
                      <w:sz w:val="23"/>
                      <w:szCs w:val="23"/>
                    </w:rPr>
                    <w:t>572</w:t>
                  </w:r>
                  <w:r w:rsidRPr="0068005F">
                    <w:rPr>
                      <w:sz w:val="23"/>
                      <w:szCs w:val="23"/>
                    </w:rPr>
                    <w:t xml:space="preserve"> mieszka</w:t>
                  </w:r>
                  <w:r w:rsidR="00DA30D7">
                    <w:rPr>
                      <w:sz w:val="23"/>
                      <w:szCs w:val="23"/>
                    </w:rPr>
                    <w:t>nia</w:t>
                  </w:r>
                  <w:r w:rsidRPr="0068005F">
                    <w:rPr>
                      <w:sz w:val="23"/>
                      <w:szCs w:val="23"/>
                    </w:rPr>
                    <w:t xml:space="preserve"> wobec </w:t>
                  </w:r>
                  <w:r w:rsidR="00E87127">
                    <w:rPr>
                      <w:sz w:val="23"/>
                      <w:szCs w:val="23"/>
                    </w:rPr>
                    <w:t>2542</w:t>
                  </w:r>
                  <w:r w:rsidRPr="0068005F">
                    <w:rPr>
                      <w:sz w:val="23"/>
                      <w:szCs w:val="23"/>
                    </w:rPr>
                    <w:t xml:space="preserve"> przed rokiem,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="00F6378E">
                    <w:rPr>
                      <w:sz w:val="23"/>
                      <w:szCs w:val="23"/>
                    </w:rPr>
                    <w:t xml:space="preserve">       </w:t>
                  </w:r>
                  <w:r>
                    <w:rPr>
                      <w:sz w:val="23"/>
                      <w:szCs w:val="23"/>
                    </w:rPr>
                    <w:t>z tego</w:t>
                  </w:r>
                  <w:r w:rsidR="00517F59">
                    <w:rPr>
                      <w:sz w:val="23"/>
                      <w:szCs w:val="23"/>
                    </w:rPr>
                    <w:t xml:space="preserve"> </w:t>
                  </w:r>
                  <w:r w:rsidRPr="0068005F">
                    <w:rPr>
                      <w:sz w:val="23"/>
                      <w:szCs w:val="23"/>
                    </w:rPr>
                    <w:t xml:space="preserve">w </w:t>
                  </w:r>
                  <w:r>
                    <w:rPr>
                      <w:sz w:val="23"/>
                      <w:szCs w:val="23"/>
                    </w:rPr>
                    <w:t xml:space="preserve">budownictwie </w:t>
                  </w:r>
                  <w:r w:rsidR="00371AAF">
                    <w:rPr>
                      <w:sz w:val="23"/>
                      <w:szCs w:val="23"/>
                    </w:rPr>
                    <w:t xml:space="preserve"> społecznym czynszowym</w:t>
                  </w:r>
                  <w:r w:rsidR="00D815C1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- </w:t>
                  </w:r>
                  <w:r w:rsidR="005F485E">
                    <w:rPr>
                      <w:sz w:val="23"/>
                      <w:szCs w:val="23"/>
                    </w:rPr>
                    <w:t>1</w:t>
                  </w:r>
                  <w:r w:rsidR="00E87127">
                    <w:rPr>
                      <w:sz w:val="23"/>
                      <w:szCs w:val="23"/>
                    </w:rPr>
                    <w:t>308</w:t>
                  </w:r>
                  <w:r>
                    <w:rPr>
                      <w:sz w:val="23"/>
                      <w:szCs w:val="23"/>
                    </w:rPr>
                    <w:t xml:space="preserve"> mieszka</w:t>
                  </w:r>
                  <w:r w:rsidR="00DF446F">
                    <w:rPr>
                      <w:sz w:val="23"/>
                      <w:szCs w:val="23"/>
                    </w:rPr>
                    <w:t>ń</w:t>
                  </w:r>
                  <w:r>
                    <w:rPr>
                      <w:sz w:val="23"/>
                      <w:szCs w:val="23"/>
                    </w:rPr>
                    <w:t xml:space="preserve"> (</w:t>
                  </w:r>
                  <w:r w:rsidR="00E87127">
                    <w:rPr>
                      <w:sz w:val="23"/>
                      <w:szCs w:val="23"/>
                    </w:rPr>
                    <w:t>1005</w:t>
                  </w:r>
                  <w:r>
                    <w:rPr>
                      <w:sz w:val="23"/>
                      <w:szCs w:val="23"/>
                    </w:rPr>
                    <w:t xml:space="preserve"> przed rokiem), </w:t>
                  </w:r>
                  <w:r w:rsidRPr="0068005F">
                    <w:rPr>
                      <w:sz w:val="23"/>
                      <w:szCs w:val="23"/>
                    </w:rPr>
                    <w:t xml:space="preserve">w </w:t>
                  </w:r>
                  <w:r w:rsidR="00D815C1">
                    <w:rPr>
                      <w:sz w:val="23"/>
                      <w:szCs w:val="23"/>
                    </w:rPr>
                    <w:t>komunalnym</w:t>
                  </w:r>
                  <w:r>
                    <w:rPr>
                      <w:sz w:val="23"/>
                      <w:szCs w:val="23"/>
                    </w:rPr>
                    <w:t xml:space="preserve"> –</w:t>
                  </w:r>
                  <w:r w:rsidR="005F485E">
                    <w:rPr>
                      <w:sz w:val="23"/>
                      <w:szCs w:val="23"/>
                    </w:rPr>
                    <w:t xml:space="preserve"> </w:t>
                  </w:r>
                  <w:r w:rsidR="00E87127">
                    <w:rPr>
                      <w:sz w:val="23"/>
                      <w:szCs w:val="23"/>
                    </w:rPr>
                    <w:t>1171</w:t>
                  </w:r>
                  <w:r>
                    <w:rPr>
                      <w:sz w:val="23"/>
                      <w:szCs w:val="23"/>
                    </w:rPr>
                    <w:t xml:space="preserve"> mieszka</w:t>
                  </w:r>
                  <w:r w:rsidR="005F485E">
                    <w:rPr>
                      <w:sz w:val="23"/>
                      <w:szCs w:val="23"/>
                    </w:rPr>
                    <w:t>ń</w:t>
                  </w:r>
                  <w:r>
                    <w:rPr>
                      <w:sz w:val="23"/>
                      <w:szCs w:val="23"/>
                    </w:rPr>
                    <w:t xml:space="preserve"> (</w:t>
                  </w:r>
                  <w:r w:rsidR="00DF446F">
                    <w:rPr>
                      <w:sz w:val="23"/>
                      <w:szCs w:val="23"/>
                    </w:rPr>
                    <w:t>1</w:t>
                  </w:r>
                  <w:r w:rsidR="00E87127">
                    <w:rPr>
                      <w:sz w:val="23"/>
                      <w:szCs w:val="23"/>
                    </w:rPr>
                    <w:t>290</w:t>
                  </w:r>
                  <w:r>
                    <w:rPr>
                      <w:sz w:val="23"/>
                      <w:szCs w:val="23"/>
                    </w:rPr>
                    <w:t xml:space="preserve"> przed rokiem), a w zakładowym</w:t>
                  </w:r>
                  <w:r w:rsidRPr="0068005F">
                    <w:rPr>
                      <w:sz w:val="23"/>
                      <w:szCs w:val="23"/>
                    </w:rPr>
                    <w:t xml:space="preserve"> – </w:t>
                  </w:r>
                  <w:r w:rsidR="00D815C1">
                    <w:rPr>
                      <w:sz w:val="23"/>
                      <w:szCs w:val="23"/>
                    </w:rPr>
                    <w:t>9</w:t>
                  </w:r>
                  <w:r w:rsidR="00E87127">
                    <w:rPr>
                      <w:sz w:val="23"/>
                      <w:szCs w:val="23"/>
                    </w:rPr>
                    <w:t>3</w:t>
                  </w:r>
                  <w:r w:rsidRPr="0068005F">
                    <w:rPr>
                      <w:sz w:val="23"/>
                      <w:szCs w:val="23"/>
                    </w:rPr>
                    <w:t xml:space="preserve"> mieszka</w:t>
                  </w:r>
                  <w:r w:rsidR="00E87127">
                    <w:rPr>
                      <w:sz w:val="23"/>
                      <w:szCs w:val="23"/>
                    </w:rPr>
                    <w:t>nia</w:t>
                  </w:r>
                  <w:r w:rsidRPr="0068005F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>(</w:t>
                  </w:r>
                  <w:r w:rsidR="00E87127">
                    <w:rPr>
                      <w:sz w:val="23"/>
                      <w:szCs w:val="23"/>
                    </w:rPr>
                    <w:t>247</w:t>
                  </w:r>
                  <w:r>
                    <w:rPr>
                      <w:sz w:val="23"/>
                      <w:szCs w:val="23"/>
                    </w:rPr>
                    <w:t xml:space="preserve"> mieszka</w:t>
                  </w:r>
                  <w:r w:rsidR="00DF446F">
                    <w:rPr>
                      <w:sz w:val="23"/>
                      <w:szCs w:val="23"/>
                    </w:rPr>
                    <w:t>ń</w:t>
                  </w:r>
                  <w:r w:rsidRPr="0068005F">
                    <w:rPr>
                      <w:sz w:val="23"/>
                      <w:szCs w:val="23"/>
                    </w:rPr>
                    <w:t xml:space="preserve"> przed rokiem</w:t>
                  </w:r>
                  <w:r>
                    <w:rPr>
                      <w:sz w:val="23"/>
                      <w:szCs w:val="23"/>
                    </w:rPr>
                    <w:t>).</w:t>
                  </w:r>
                  <w:r w:rsidR="00E1131B">
                    <w:rPr>
                      <w:sz w:val="23"/>
                      <w:szCs w:val="23"/>
                    </w:rPr>
                    <w:t xml:space="preserve"> </w:t>
                  </w:r>
                  <w:r w:rsidRPr="0068005F">
                    <w:rPr>
                      <w:sz w:val="23"/>
                      <w:szCs w:val="23"/>
                    </w:rPr>
                    <w:t xml:space="preserve">W ramach tych form budownictwa </w:t>
                  </w:r>
                  <w:r w:rsidR="00305236">
                    <w:rPr>
                      <w:sz w:val="23"/>
                      <w:szCs w:val="23"/>
                    </w:rPr>
                    <w:t xml:space="preserve">wzrosła </w:t>
                  </w:r>
                  <w:r w:rsidRPr="0068005F">
                    <w:rPr>
                      <w:sz w:val="23"/>
                      <w:szCs w:val="23"/>
                    </w:rPr>
                    <w:t xml:space="preserve">liczba mieszkań, na których budowę wydano pozwolenia do </w:t>
                  </w:r>
                  <w:r w:rsidR="003778CE">
                    <w:rPr>
                      <w:sz w:val="23"/>
                      <w:szCs w:val="23"/>
                    </w:rPr>
                    <w:t>4</w:t>
                  </w:r>
                  <w:r w:rsidR="00E87127">
                    <w:rPr>
                      <w:sz w:val="23"/>
                      <w:szCs w:val="23"/>
                    </w:rPr>
                    <w:t>321</w:t>
                  </w:r>
                  <w:r w:rsidRPr="0068005F">
                    <w:rPr>
                      <w:sz w:val="23"/>
                      <w:szCs w:val="23"/>
                    </w:rPr>
                    <w:t xml:space="preserve"> </w:t>
                  </w:r>
                  <w:r w:rsidR="00305236">
                    <w:rPr>
                      <w:sz w:val="23"/>
                      <w:szCs w:val="23"/>
                    </w:rPr>
                    <w:t>(</w:t>
                  </w:r>
                  <w:r w:rsidRPr="0068005F">
                    <w:rPr>
                      <w:sz w:val="23"/>
                      <w:szCs w:val="23"/>
                    </w:rPr>
                    <w:t>wobec</w:t>
                  </w:r>
                  <w:r w:rsidR="002A079F">
                    <w:rPr>
                      <w:sz w:val="23"/>
                      <w:szCs w:val="23"/>
                    </w:rPr>
                    <w:t xml:space="preserve">  </w:t>
                  </w:r>
                  <w:r w:rsidR="00DF446F">
                    <w:rPr>
                      <w:sz w:val="23"/>
                      <w:szCs w:val="23"/>
                    </w:rPr>
                    <w:t>39</w:t>
                  </w:r>
                  <w:r w:rsidR="00E87127">
                    <w:rPr>
                      <w:sz w:val="23"/>
                      <w:szCs w:val="23"/>
                    </w:rPr>
                    <w:t>72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68005F">
                    <w:rPr>
                      <w:sz w:val="23"/>
                      <w:szCs w:val="23"/>
                    </w:rPr>
                    <w:t>przed rokiem</w:t>
                  </w:r>
                  <w:r w:rsidR="00305236">
                    <w:rPr>
                      <w:sz w:val="23"/>
                      <w:szCs w:val="23"/>
                    </w:rPr>
                    <w:t>) i</w:t>
                  </w:r>
                  <w:r>
                    <w:rPr>
                      <w:sz w:val="23"/>
                      <w:szCs w:val="23"/>
                    </w:rPr>
                    <w:t xml:space="preserve">  liczba mieszkań</w:t>
                  </w:r>
                  <w:r w:rsidR="003608FD">
                    <w:rPr>
                      <w:sz w:val="23"/>
                      <w:szCs w:val="23"/>
                    </w:rPr>
                    <w:t>,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68005F">
                    <w:rPr>
                      <w:sz w:val="23"/>
                      <w:szCs w:val="23"/>
                    </w:rPr>
                    <w:t xml:space="preserve">których budowę rozpoczęto </w:t>
                  </w:r>
                  <w:r w:rsidR="00305236">
                    <w:rPr>
                      <w:sz w:val="23"/>
                      <w:szCs w:val="23"/>
                    </w:rPr>
                    <w:t>-</w:t>
                  </w:r>
                  <w:r w:rsidRPr="0068005F">
                    <w:rPr>
                      <w:sz w:val="23"/>
                      <w:szCs w:val="23"/>
                    </w:rPr>
                    <w:t xml:space="preserve"> do </w:t>
                  </w:r>
                  <w:r w:rsidR="00126A7B">
                    <w:rPr>
                      <w:sz w:val="23"/>
                      <w:szCs w:val="23"/>
                    </w:rPr>
                    <w:t>26</w:t>
                  </w:r>
                  <w:r w:rsidR="00E87127">
                    <w:rPr>
                      <w:sz w:val="23"/>
                      <w:szCs w:val="23"/>
                    </w:rPr>
                    <w:t>80</w:t>
                  </w:r>
                  <w:r w:rsidRPr="0068005F">
                    <w:rPr>
                      <w:sz w:val="23"/>
                      <w:szCs w:val="23"/>
                    </w:rPr>
                    <w:t xml:space="preserve"> </w:t>
                  </w:r>
                  <w:r w:rsidR="00305236">
                    <w:rPr>
                      <w:sz w:val="23"/>
                      <w:szCs w:val="23"/>
                    </w:rPr>
                    <w:t>(</w:t>
                  </w:r>
                  <w:r w:rsidRPr="0068005F">
                    <w:rPr>
                      <w:sz w:val="23"/>
                      <w:szCs w:val="23"/>
                    </w:rPr>
                    <w:t xml:space="preserve">wobec </w:t>
                  </w:r>
                  <w:r w:rsidR="00E87127">
                    <w:rPr>
                      <w:sz w:val="23"/>
                      <w:szCs w:val="23"/>
                    </w:rPr>
                    <w:t>2249</w:t>
                  </w:r>
                  <w:r w:rsidR="00305236">
                    <w:rPr>
                      <w:sz w:val="23"/>
                      <w:szCs w:val="23"/>
                    </w:rPr>
                    <w:t>).</w:t>
                  </w:r>
                </w:p>
                <w:p w:rsidR="0092588B" w:rsidRPr="0068005F" w:rsidRDefault="0092588B" w:rsidP="000B1BD8">
                  <w:pPr>
                    <w:spacing w:after="0" w:line="240" w:lineRule="auto"/>
                    <w:ind w:left="142" w:right="-108" w:firstLine="697"/>
                    <w:jc w:val="both"/>
                    <w:rPr>
                      <w:sz w:val="23"/>
                      <w:szCs w:val="23"/>
                    </w:rPr>
                  </w:pPr>
                  <w:r w:rsidRPr="0068005F">
                    <w:rPr>
                      <w:sz w:val="23"/>
                      <w:szCs w:val="23"/>
                    </w:rPr>
                    <w:t>W okresie styczeń-</w:t>
                  </w:r>
                  <w:r w:rsidR="00E9631C">
                    <w:rPr>
                      <w:sz w:val="23"/>
                      <w:szCs w:val="23"/>
                    </w:rPr>
                    <w:t>październik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68005F">
                    <w:rPr>
                      <w:sz w:val="23"/>
                      <w:szCs w:val="23"/>
                    </w:rPr>
                    <w:t>201</w:t>
                  </w:r>
                  <w:r>
                    <w:rPr>
                      <w:sz w:val="23"/>
                      <w:szCs w:val="23"/>
                    </w:rPr>
                    <w:t>7</w:t>
                  </w:r>
                  <w:r w:rsidR="00305236">
                    <w:rPr>
                      <w:sz w:val="23"/>
                      <w:szCs w:val="23"/>
                    </w:rPr>
                    <w:t xml:space="preserve"> </w:t>
                  </w:r>
                  <w:r w:rsidRPr="0068005F">
                    <w:rPr>
                      <w:sz w:val="23"/>
                      <w:szCs w:val="23"/>
                    </w:rPr>
                    <w:t xml:space="preserve">r. </w:t>
                  </w:r>
                  <w:r w:rsidRPr="0068005F">
                    <w:rPr>
                      <w:b/>
                      <w:sz w:val="23"/>
                      <w:szCs w:val="23"/>
                    </w:rPr>
                    <w:t>liczb</w:t>
                  </w:r>
                  <w:r w:rsidR="00305236">
                    <w:rPr>
                      <w:b/>
                      <w:sz w:val="23"/>
                      <w:szCs w:val="23"/>
                    </w:rPr>
                    <w:t>a</w:t>
                  </w:r>
                  <w:r w:rsidRPr="0068005F">
                    <w:rPr>
                      <w:b/>
                      <w:sz w:val="23"/>
                      <w:szCs w:val="23"/>
                    </w:rPr>
                    <w:t xml:space="preserve"> mieszkań oddanych do użytkowania</w:t>
                  </w:r>
                  <w:r w:rsidRPr="0068005F">
                    <w:rPr>
                      <w:sz w:val="23"/>
                      <w:szCs w:val="23"/>
                    </w:rPr>
                    <w:t xml:space="preserve"> </w:t>
                  </w:r>
                  <w:r w:rsidR="00305236">
                    <w:rPr>
                      <w:sz w:val="23"/>
                      <w:szCs w:val="23"/>
                    </w:rPr>
                    <w:t xml:space="preserve">wzrosła                </w:t>
                  </w:r>
                  <w:r w:rsidRPr="0068005F">
                    <w:rPr>
                      <w:sz w:val="23"/>
                      <w:szCs w:val="23"/>
                    </w:rPr>
                    <w:t xml:space="preserve">w </w:t>
                  </w:r>
                  <w:r w:rsidR="00E87127">
                    <w:rPr>
                      <w:sz w:val="23"/>
                      <w:szCs w:val="23"/>
                    </w:rPr>
                    <w:t>czternastu</w:t>
                  </w:r>
                  <w:r w:rsidR="00FA4EA2">
                    <w:rPr>
                      <w:sz w:val="23"/>
                      <w:szCs w:val="23"/>
                    </w:rPr>
                    <w:t xml:space="preserve"> </w:t>
                  </w:r>
                  <w:r w:rsidRPr="0068005F">
                    <w:rPr>
                      <w:sz w:val="23"/>
                      <w:szCs w:val="23"/>
                    </w:rPr>
                    <w:t xml:space="preserve">województwach, w tym </w:t>
                  </w:r>
                  <w:r w:rsidR="00305236">
                    <w:rPr>
                      <w:sz w:val="23"/>
                      <w:szCs w:val="23"/>
                    </w:rPr>
                    <w:t>najbardziej</w:t>
                  </w:r>
                  <w:r w:rsidRPr="0068005F">
                    <w:rPr>
                      <w:sz w:val="23"/>
                      <w:szCs w:val="23"/>
                    </w:rPr>
                    <w:t xml:space="preserve">: w województwie </w:t>
                  </w:r>
                  <w:r w:rsidR="00FA4EA2">
                    <w:rPr>
                      <w:sz w:val="23"/>
                      <w:szCs w:val="23"/>
                    </w:rPr>
                    <w:t>pomor</w:t>
                  </w:r>
                  <w:r>
                    <w:rPr>
                      <w:sz w:val="23"/>
                      <w:szCs w:val="23"/>
                    </w:rPr>
                    <w:t xml:space="preserve">skim </w:t>
                  </w:r>
                  <w:r w:rsidRPr="0068005F">
                    <w:rPr>
                      <w:sz w:val="23"/>
                      <w:szCs w:val="23"/>
                    </w:rPr>
                    <w:t xml:space="preserve">– o </w:t>
                  </w:r>
                  <w:r w:rsidR="00FD1697">
                    <w:rPr>
                      <w:sz w:val="23"/>
                      <w:szCs w:val="23"/>
                    </w:rPr>
                    <w:t>3</w:t>
                  </w:r>
                  <w:r w:rsidR="00E87127">
                    <w:rPr>
                      <w:sz w:val="23"/>
                      <w:szCs w:val="23"/>
                    </w:rPr>
                    <w:t>0</w:t>
                  </w:r>
                  <w:r>
                    <w:rPr>
                      <w:sz w:val="23"/>
                      <w:szCs w:val="23"/>
                    </w:rPr>
                    <w:t>,</w:t>
                  </w:r>
                  <w:r w:rsidR="00E87127">
                    <w:rPr>
                      <w:sz w:val="23"/>
                      <w:szCs w:val="23"/>
                    </w:rPr>
                    <w:t>9</w:t>
                  </w:r>
                  <w:r w:rsidRPr="0068005F">
                    <w:rPr>
                      <w:sz w:val="23"/>
                      <w:szCs w:val="23"/>
                    </w:rPr>
                    <w:t>%</w:t>
                  </w:r>
                  <w:r>
                    <w:rPr>
                      <w:sz w:val="23"/>
                      <w:szCs w:val="23"/>
                    </w:rPr>
                    <w:t xml:space="preserve"> (</w:t>
                  </w:r>
                  <w:r w:rsidR="00126A7B">
                    <w:rPr>
                      <w:sz w:val="23"/>
                      <w:szCs w:val="23"/>
                    </w:rPr>
                    <w:t>1</w:t>
                  </w:r>
                  <w:r w:rsidR="00E87127">
                    <w:rPr>
                      <w:sz w:val="23"/>
                      <w:szCs w:val="23"/>
                    </w:rPr>
                    <w:t>2171</w:t>
                  </w:r>
                  <w:r>
                    <w:rPr>
                      <w:sz w:val="23"/>
                      <w:szCs w:val="23"/>
                    </w:rPr>
                    <w:t xml:space="preserve"> mieszka</w:t>
                  </w:r>
                  <w:r w:rsidR="00894E40">
                    <w:rPr>
                      <w:sz w:val="23"/>
                      <w:szCs w:val="23"/>
                    </w:rPr>
                    <w:t>ń</w:t>
                  </w:r>
                  <w:r>
                    <w:rPr>
                      <w:sz w:val="23"/>
                      <w:szCs w:val="23"/>
                    </w:rPr>
                    <w:t>)</w:t>
                  </w:r>
                  <w:r w:rsidRPr="0068005F">
                    <w:rPr>
                      <w:sz w:val="23"/>
                      <w:szCs w:val="23"/>
                    </w:rPr>
                    <w:t xml:space="preserve">, </w:t>
                  </w:r>
                  <w:r w:rsidR="003778CE">
                    <w:rPr>
                      <w:sz w:val="23"/>
                      <w:szCs w:val="23"/>
                    </w:rPr>
                    <w:t>kujawsko-pomorskim</w:t>
                  </w:r>
                  <w:r w:rsidR="00FA4EA2">
                    <w:rPr>
                      <w:sz w:val="23"/>
                      <w:szCs w:val="23"/>
                    </w:rPr>
                    <w:t xml:space="preserve"> </w:t>
                  </w:r>
                  <w:r w:rsidRPr="0068005F">
                    <w:rPr>
                      <w:sz w:val="23"/>
                      <w:szCs w:val="23"/>
                    </w:rPr>
                    <w:t xml:space="preserve">– o </w:t>
                  </w:r>
                  <w:r w:rsidR="00FA4EA2">
                    <w:rPr>
                      <w:sz w:val="23"/>
                      <w:szCs w:val="23"/>
                    </w:rPr>
                    <w:t>2</w:t>
                  </w:r>
                  <w:r w:rsidR="00126A7B">
                    <w:rPr>
                      <w:sz w:val="23"/>
                      <w:szCs w:val="23"/>
                    </w:rPr>
                    <w:t>5</w:t>
                  </w:r>
                  <w:r>
                    <w:rPr>
                      <w:sz w:val="23"/>
                      <w:szCs w:val="23"/>
                    </w:rPr>
                    <w:t>,</w:t>
                  </w:r>
                  <w:r w:rsidR="00E87127">
                    <w:rPr>
                      <w:sz w:val="23"/>
                      <w:szCs w:val="23"/>
                    </w:rPr>
                    <w:t>3</w:t>
                  </w:r>
                  <w:r w:rsidRPr="0068005F">
                    <w:rPr>
                      <w:sz w:val="23"/>
                      <w:szCs w:val="23"/>
                    </w:rPr>
                    <w:t>%</w:t>
                  </w:r>
                  <w:r>
                    <w:rPr>
                      <w:sz w:val="23"/>
                      <w:szCs w:val="23"/>
                    </w:rPr>
                    <w:t xml:space="preserve"> (</w:t>
                  </w:r>
                  <w:r w:rsidR="00126A7B">
                    <w:rPr>
                      <w:sz w:val="23"/>
                      <w:szCs w:val="23"/>
                    </w:rPr>
                    <w:t>6</w:t>
                  </w:r>
                  <w:r w:rsidR="00E87127">
                    <w:rPr>
                      <w:sz w:val="23"/>
                      <w:szCs w:val="23"/>
                    </w:rPr>
                    <w:t>108</w:t>
                  </w:r>
                  <w:r>
                    <w:rPr>
                      <w:sz w:val="23"/>
                      <w:szCs w:val="23"/>
                    </w:rPr>
                    <w:t xml:space="preserve">) i </w:t>
                  </w:r>
                  <w:r w:rsidR="00E87127">
                    <w:rPr>
                      <w:sz w:val="23"/>
                      <w:szCs w:val="23"/>
                    </w:rPr>
                    <w:t>wielkopolskim</w:t>
                  </w:r>
                  <w:r w:rsidRPr="0068005F">
                    <w:rPr>
                      <w:sz w:val="23"/>
                      <w:szCs w:val="23"/>
                    </w:rPr>
                    <w:t xml:space="preserve"> – </w:t>
                  </w:r>
                  <w:r>
                    <w:rPr>
                      <w:sz w:val="23"/>
                      <w:szCs w:val="23"/>
                    </w:rPr>
                    <w:t>o</w:t>
                  </w:r>
                  <w:r w:rsidRPr="0068005F">
                    <w:rPr>
                      <w:sz w:val="23"/>
                      <w:szCs w:val="23"/>
                    </w:rPr>
                    <w:t xml:space="preserve"> </w:t>
                  </w:r>
                  <w:r w:rsidR="00E87127">
                    <w:rPr>
                      <w:sz w:val="23"/>
                      <w:szCs w:val="23"/>
                    </w:rPr>
                    <w:t>19</w:t>
                  </w:r>
                  <w:r>
                    <w:rPr>
                      <w:sz w:val="23"/>
                      <w:szCs w:val="23"/>
                    </w:rPr>
                    <w:t>,</w:t>
                  </w:r>
                  <w:r w:rsidR="00E87127">
                    <w:rPr>
                      <w:sz w:val="23"/>
                      <w:szCs w:val="23"/>
                    </w:rPr>
                    <w:t>7</w:t>
                  </w:r>
                  <w:r w:rsidRPr="0068005F">
                    <w:rPr>
                      <w:sz w:val="23"/>
                      <w:szCs w:val="23"/>
                    </w:rPr>
                    <w:t>%</w:t>
                  </w:r>
                  <w:r>
                    <w:rPr>
                      <w:sz w:val="23"/>
                      <w:szCs w:val="23"/>
                    </w:rPr>
                    <w:t xml:space="preserve"> (</w:t>
                  </w:r>
                  <w:r w:rsidR="00E87127">
                    <w:rPr>
                      <w:sz w:val="23"/>
                      <w:szCs w:val="23"/>
                    </w:rPr>
                    <w:t>14826</w:t>
                  </w:r>
                  <w:r>
                    <w:rPr>
                      <w:sz w:val="23"/>
                      <w:szCs w:val="23"/>
                    </w:rPr>
                    <w:t>). Spadek</w:t>
                  </w:r>
                  <w:r w:rsidRPr="0068005F">
                    <w:rPr>
                      <w:sz w:val="23"/>
                      <w:szCs w:val="23"/>
                    </w:rPr>
                    <w:t xml:space="preserve"> liczby mieszkań oddanych do </w:t>
                  </w:r>
                  <w:r w:rsidR="00305236">
                    <w:rPr>
                      <w:sz w:val="23"/>
                      <w:szCs w:val="23"/>
                    </w:rPr>
                    <w:t xml:space="preserve">użytkowania odnotowano natomiast </w:t>
                  </w:r>
                  <w:r>
                    <w:rPr>
                      <w:sz w:val="23"/>
                      <w:szCs w:val="23"/>
                    </w:rPr>
                    <w:t xml:space="preserve">w województwie </w:t>
                  </w:r>
                  <w:r w:rsidR="00AB37F5">
                    <w:rPr>
                      <w:sz w:val="23"/>
                      <w:szCs w:val="23"/>
                    </w:rPr>
                    <w:t>mazowieckim</w:t>
                  </w:r>
                  <w:r>
                    <w:rPr>
                      <w:sz w:val="23"/>
                      <w:szCs w:val="23"/>
                    </w:rPr>
                    <w:t xml:space="preserve"> – </w:t>
                  </w:r>
                  <w:r w:rsidR="00FD1697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o </w:t>
                  </w:r>
                  <w:r w:rsidR="00E87127">
                    <w:rPr>
                      <w:sz w:val="23"/>
                      <w:szCs w:val="23"/>
                    </w:rPr>
                    <w:t>7</w:t>
                  </w:r>
                  <w:r>
                    <w:rPr>
                      <w:sz w:val="23"/>
                      <w:szCs w:val="23"/>
                    </w:rPr>
                    <w:t>,</w:t>
                  </w:r>
                  <w:r w:rsidR="00E87127">
                    <w:rPr>
                      <w:sz w:val="23"/>
                      <w:szCs w:val="23"/>
                    </w:rPr>
                    <w:t>2</w:t>
                  </w:r>
                  <w:r>
                    <w:rPr>
                      <w:sz w:val="23"/>
                      <w:szCs w:val="23"/>
                    </w:rPr>
                    <w:t>% (</w:t>
                  </w:r>
                  <w:r w:rsidR="00305236">
                    <w:rPr>
                      <w:sz w:val="23"/>
                      <w:szCs w:val="23"/>
                    </w:rPr>
                    <w:t xml:space="preserve">do </w:t>
                  </w:r>
                  <w:r w:rsidR="00AB37F5">
                    <w:rPr>
                      <w:sz w:val="23"/>
                      <w:szCs w:val="23"/>
                    </w:rPr>
                    <w:t>2</w:t>
                  </w:r>
                  <w:r w:rsidR="00E87127">
                    <w:rPr>
                      <w:sz w:val="23"/>
                      <w:szCs w:val="23"/>
                    </w:rPr>
                    <w:t>8236</w:t>
                  </w:r>
                  <w:r>
                    <w:rPr>
                      <w:sz w:val="23"/>
                      <w:szCs w:val="23"/>
                    </w:rPr>
                    <w:t>)</w:t>
                  </w:r>
                  <w:r w:rsidR="00E87127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i </w:t>
                  </w:r>
                  <w:r w:rsidR="003778CE">
                    <w:rPr>
                      <w:sz w:val="23"/>
                      <w:szCs w:val="23"/>
                    </w:rPr>
                    <w:t xml:space="preserve"> </w:t>
                  </w:r>
                  <w:r w:rsidR="00AB37F5">
                    <w:rPr>
                      <w:sz w:val="23"/>
                      <w:szCs w:val="23"/>
                    </w:rPr>
                    <w:t>opolskim</w:t>
                  </w:r>
                  <w:r w:rsidR="003778CE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- o </w:t>
                  </w:r>
                  <w:r w:rsidR="00E87127">
                    <w:rPr>
                      <w:sz w:val="23"/>
                      <w:szCs w:val="23"/>
                    </w:rPr>
                    <w:t>1</w:t>
                  </w:r>
                  <w:r>
                    <w:rPr>
                      <w:sz w:val="23"/>
                      <w:szCs w:val="23"/>
                    </w:rPr>
                    <w:t>,</w:t>
                  </w:r>
                  <w:r w:rsidR="00E87127">
                    <w:rPr>
                      <w:sz w:val="23"/>
                      <w:szCs w:val="23"/>
                    </w:rPr>
                    <w:t>2</w:t>
                  </w:r>
                  <w:r>
                    <w:rPr>
                      <w:sz w:val="23"/>
                      <w:szCs w:val="23"/>
                    </w:rPr>
                    <w:t>% (</w:t>
                  </w:r>
                  <w:r w:rsidR="00305236">
                    <w:rPr>
                      <w:sz w:val="23"/>
                      <w:szCs w:val="23"/>
                    </w:rPr>
                    <w:t xml:space="preserve">do </w:t>
                  </w:r>
                  <w:r w:rsidR="00AB37F5">
                    <w:rPr>
                      <w:sz w:val="23"/>
                      <w:szCs w:val="23"/>
                    </w:rPr>
                    <w:t>1</w:t>
                  </w:r>
                  <w:r w:rsidR="00A650A0">
                    <w:rPr>
                      <w:sz w:val="23"/>
                      <w:szCs w:val="23"/>
                    </w:rPr>
                    <w:t>3</w:t>
                  </w:r>
                  <w:r w:rsidR="00282230">
                    <w:rPr>
                      <w:sz w:val="23"/>
                      <w:szCs w:val="23"/>
                    </w:rPr>
                    <w:t>72</w:t>
                  </w:r>
                  <w:r w:rsidR="004A2025">
                    <w:rPr>
                      <w:sz w:val="23"/>
                      <w:szCs w:val="23"/>
                    </w:rPr>
                    <w:t xml:space="preserve"> mieszka</w:t>
                  </w:r>
                  <w:r w:rsidR="003778CE">
                    <w:rPr>
                      <w:sz w:val="23"/>
                      <w:szCs w:val="23"/>
                    </w:rPr>
                    <w:t>ń</w:t>
                  </w:r>
                  <w:r w:rsidR="00333DD3">
                    <w:rPr>
                      <w:sz w:val="23"/>
                      <w:szCs w:val="23"/>
                    </w:rPr>
                    <w:t>).</w:t>
                  </w:r>
                </w:p>
                <w:p w:rsidR="0092588B" w:rsidRDefault="0092588B" w:rsidP="000D765A">
                  <w:pPr>
                    <w:spacing w:after="0" w:line="240" w:lineRule="auto"/>
                    <w:ind w:left="142" w:right="-108" w:firstLine="697"/>
                    <w:jc w:val="both"/>
                    <w:rPr>
                      <w:sz w:val="23"/>
                      <w:szCs w:val="23"/>
                    </w:rPr>
                  </w:pPr>
                  <w:r w:rsidRPr="0068005F">
                    <w:rPr>
                      <w:sz w:val="23"/>
                      <w:szCs w:val="23"/>
                    </w:rPr>
                    <w:t xml:space="preserve">W okresie </w:t>
                  </w:r>
                  <w:r w:rsidR="00517F59">
                    <w:rPr>
                      <w:sz w:val="23"/>
                      <w:szCs w:val="23"/>
                    </w:rPr>
                    <w:t>dzie</w:t>
                  </w:r>
                  <w:r w:rsidR="00E9631C">
                    <w:rPr>
                      <w:sz w:val="23"/>
                      <w:szCs w:val="23"/>
                    </w:rPr>
                    <w:t>sięciu</w:t>
                  </w:r>
                  <w:r w:rsidRPr="0068005F">
                    <w:rPr>
                      <w:sz w:val="23"/>
                      <w:szCs w:val="23"/>
                    </w:rPr>
                    <w:t xml:space="preserve"> miesięcy 201</w:t>
                  </w:r>
                  <w:r>
                    <w:rPr>
                      <w:sz w:val="23"/>
                      <w:szCs w:val="23"/>
                    </w:rPr>
                    <w:t>7</w:t>
                  </w:r>
                  <w:r w:rsidRPr="0068005F">
                    <w:rPr>
                      <w:sz w:val="23"/>
                      <w:szCs w:val="23"/>
                    </w:rPr>
                    <w:t xml:space="preserve">r. </w:t>
                  </w:r>
                  <w:r w:rsidR="00132C4E">
                    <w:rPr>
                      <w:sz w:val="23"/>
                      <w:szCs w:val="23"/>
                    </w:rPr>
                    <w:t>wzrost liczby</w:t>
                  </w:r>
                  <w:r>
                    <w:rPr>
                      <w:sz w:val="23"/>
                      <w:szCs w:val="23"/>
                    </w:rPr>
                    <w:t xml:space="preserve"> mieszkań</w:t>
                  </w:r>
                  <w:r w:rsidRPr="0068005F">
                    <w:rPr>
                      <w:sz w:val="23"/>
                      <w:szCs w:val="23"/>
                    </w:rPr>
                    <w:t xml:space="preserve">, </w:t>
                  </w:r>
                  <w:r w:rsidRPr="0068005F">
                    <w:rPr>
                      <w:b/>
                      <w:sz w:val="23"/>
                      <w:szCs w:val="23"/>
                    </w:rPr>
                    <w:t xml:space="preserve">na </w:t>
                  </w:r>
                  <w:r>
                    <w:rPr>
                      <w:b/>
                      <w:sz w:val="23"/>
                      <w:szCs w:val="23"/>
                    </w:rPr>
                    <w:t>których budowę</w:t>
                  </w:r>
                  <w:r w:rsidRPr="0068005F">
                    <w:rPr>
                      <w:b/>
                      <w:sz w:val="23"/>
                      <w:szCs w:val="23"/>
                    </w:rPr>
                    <w:t xml:space="preserve"> wydano pozwolenia </w:t>
                  </w:r>
                  <w:r>
                    <w:rPr>
                      <w:b/>
                      <w:sz w:val="23"/>
                      <w:szCs w:val="23"/>
                    </w:rPr>
                    <w:t>lub d</w:t>
                  </w:r>
                  <w:r w:rsidRPr="00F57402">
                    <w:rPr>
                      <w:b/>
                      <w:sz w:val="23"/>
                      <w:szCs w:val="23"/>
                    </w:rPr>
                    <w:t xml:space="preserve">okonano zgłoszenia z projektem budowlanym </w:t>
                  </w:r>
                  <w:r w:rsidR="00305236">
                    <w:rPr>
                      <w:b/>
                      <w:sz w:val="23"/>
                      <w:szCs w:val="23"/>
                    </w:rPr>
                    <w:t>od</w:t>
                  </w:r>
                  <w:r w:rsidR="00132C4E">
                    <w:rPr>
                      <w:b/>
                      <w:sz w:val="23"/>
                      <w:szCs w:val="23"/>
                    </w:rPr>
                    <w:t>notowano</w:t>
                  </w:r>
                  <w:r w:rsidRPr="00B3555E">
                    <w:rPr>
                      <w:sz w:val="23"/>
                      <w:szCs w:val="23"/>
                    </w:rPr>
                    <w:t xml:space="preserve"> </w:t>
                  </w:r>
                  <w:r w:rsidRPr="00F57402">
                    <w:rPr>
                      <w:sz w:val="23"/>
                      <w:szCs w:val="23"/>
                    </w:rPr>
                    <w:t xml:space="preserve">w </w:t>
                  </w:r>
                  <w:r w:rsidR="00B37D31">
                    <w:rPr>
                      <w:sz w:val="23"/>
                      <w:szCs w:val="23"/>
                    </w:rPr>
                    <w:t>trzynastu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F57402">
                    <w:rPr>
                      <w:sz w:val="23"/>
                      <w:szCs w:val="23"/>
                    </w:rPr>
                    <w:t xml:space="preserve">województwach, w tym </w:t>
                  </w:r>
                  <w:r w:rsidR="00FB742B">
                    <w:rPr>
                      <w:sz w:val="23"/>
                      <w:szCs w:val="23"/>
                    </w:rPr>
                    <w:t xml:space="preserve">największy </w:t>
                  </w:r>
                  <w:r w:rsidRPr="00F57402">
                    <w:rPr>
                      <w:sz w:val="23"/>
                      <w:szCs w:val="23"/>
                    </w:rPr>
                    <w:t>w</w:t>
                  </w:r>
                  <w:r>
                    <w:rPr>
                      <w:sz w:val="23"/>
                      <w:szCs w:val="23"/>
                    </w:rPr>
                    <w:t xml:space="preserve">  zachodniopomorskim </w:t>
                  </w:r>
                  <w:r w:rsidRPr="00F57402">
                    <w:rPr>
                      <w:sz w:val="23"/>
                      <w:szCs w:val="23"/>
                    </w:rPr>
                    <w:t xml:space="preserve">– </w:t>
                  </w:r>
                  <w:r w:rsidR="00282230">
                    <w:rPr>
                      <w:sz w:val="23"/>
                      <w:szCs w:val="23"/>
                    </w:rPr>
                    <w:t>11074</w:t>
                  </w:r>
                  <w:r>
                    <w:rPr>
                      <w:sz w:val="23"/>
                      <w:szCs w:val="23"/>
                    </w:rPr>
                    <w:t xml:space="preserve"> mieszka</w:t>
                  </w:r>
                  <w:r w:rsidR="00282230">
                    <w:rPr>
                      <w:sz w:val="23"/>
                      <w:szCs w:val="23"/>
                    </w:rPr>
                    <w:t>nia</w:t>
                  </w:r>
                  <w:r>
                    <w:rPr>
                      <w:sz w:val="23"/>
                      <w:szCs w:val="23"/>
                    </w:rPr>
                    <w:t xml:space="preserve"> (</w:t>
                  </w:r>
                  <w:r w:rsidR="00282230">
                    <w:rPr>
                      <w:sz w:val="23"/>
                      <w:szCs w:val="23"/>
                    </w:rPr>
                    <w:t>7126</w:t>
                  </w:r>
                  <w:r>
                    <w:rPr>
                      <w:sz w:val="23"/>
                      <w:szCs w:val="23"/>
                    </w:rPr>
                    <w:t xml:space="preserve"> przed rokiem), </w:t>
                  </w:r>
                  <w:r w:rsidR="00B37D31">
                    <w:rPr>
                      <w:sz w:val="23"/>
                      <w:szCs w:val="23"/>
                    </w:rPr>
                    <w:t>małopolskim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68005F">
                    <w:rPr>
                      <w:sz w:val="23"/>
                      <w:szCs w:val="23"/>
                    </w:rPr>
                    <w:t xml:space="preserve">– </w:t>
                  </w:r>
                  <w:r w:rsidR="00282230">
                    <w:rPr>
                      <w:sz w:val="23"/>
                      <w:szCs w:val="23"/>
                    </w:rPr>
                    <w:t>20922</w:t>
                  </w:r>
                  <w:r>
                    <w:rPr>
                      <w:sz w:val="23"/>
                      <w:szCs w:val="23"/>
                    </w:rPr>
                    <w:t xml:space="preserve"> mieszka</w:t>
                  </w:r>
                  <w:r w:rsidR="00282230">
                    <w:rPr>
                      <w:sz w:val="23"/>
                      <w:szCs w:val="23"/>
                    </w:rPr>
                    <w:t>nia</w:t>
                  </w:r>
                  <w:r>
                    <w:rPr>
                      <w:sz w:val="23"/>
                      <w:szCs w:val="23"/>
                    </w:rPr>
                    <w:t xml:space="preserve"> (</w:t>
                  </w:r>
                  <w:r w:rsidR="00B37D31">
                    <w:rPr>
                      <w:sz w:val="23"/>
                      <w:szCs w:val="23"/>
                    </w:rPr>
                    <w:t>1</w:t>
                  </w:r>
                  <w:r w:rsidR="00282230">
                    <w:rPr>
                      <w:sz w:val="23"/>
                      <w:szCs w:val="23"/>
                    </w:rPr>
                    <w:t>5305</w:t>
                  </w:r>
                  <w:r>
                    <w:rPr>
                      <w:sz w:val="23"/>
                      <w:szCs w:val="23"/>
                    </w:rPr>
                    <w:t xml:space="preserve"> przed rokiem) i </w:t>
                  </w:r>
                  <w:r w:rsidR="00B37D31">
                    <w:rPr>
                      <w:sz w:val="23"/>
                      <w:szCs w:val="23"/>
                    </w:rPr>
                    <w:t>dolnośląskim</w:t>
                  </w:r>
                  <w:r>
                    <w:rPr>
                      <w:sz w:val="23"/>
                      <w:szCs w:val="23"/>
                    </w:rPr>
                    <w:t xml:space="preserve"> – </w:t>
                  </w:r>
                  <w:r w:rsidR="00B37D31">
                    <w:rPr>
                      <w:sz w:val="23"/>
                      <w:szCs w:val="23"/>
                    </w:rPr>
                    <w:t>24</w:t>
                  </w:r>
                  <w:r w:rsidR="00282230">
                    <w:rPr>
                      <w:sz w:val="23"/>
                      <w:szCs w:val="23"/>
                    </w:rPr>
                    <w:t>089</w:t>
                  </w:r>
                  <w:r>
                    <w:rPr>
                      <w:sz w:val="23"/>
                      <w:szCs w:val="23"/>
                    </w:rPr>
                    <w:t xml:space="preserve"> mieszka</w:t>
                  </w:r>
                  <w:r w:rsidR="00282230">
                    <w:rPr>
                      <w:sz w:val="23"/>
                      <w:szCs w:val="23"/>
                    </w:rPr>
                    <w:t>ń</w:t>
                  </w:r>
                  <w:r>
                    <w:rPr>
                      <w:sz w:val="23"/>
                      <w:szCs w:val="23"/>
                    </w:rPr>
                    <w:t xml:space="preserve"> (</w:t>
                  </w:r>
                  <w:r w:rsidR="00282230">
                    <w:rPr>
                      <w:sz w:val="23"/>
                      <w:szCs w:val="23"/>
                    </w:rPr>
                    <w:t>18056</w:t>
                  </w:r>
                  <w:r>
                    <w:rPr>
                      <w:sz w:val="23"/>
                      <w:szCs w:val="23"/>
                    </w:rPr>
                    <w:t xml:space="preserve"> przed rokiem). </w:t>
                  </w:r>
                  <w:r w:rsidRPr="0068005F">
                    <w:rPr>
                      <w:sz w:val="23"/>
                      <w:szCs w:val="23"/>
                    </w:rPr>
                    <w:t xml:space="preserve">Spadek liczby wydanych </w:t>
                  </w:r>
                  <w:r w:rsidRPr="00F57402">
                    <w:rPr>
                      <w:sz w:val="23"/>
                      <w:szCs w:val="23"/>
                    </w:rPr>
                    <w:t xml:space="preserve">pozwoleń lub dokonanych zgłoszeń z projektem budowlanym </w:t>
                  </w:r>
                  <w:r>
                    <w:rPr>
                      <w:sz w:val="23"/>
                      <w:szCs w:val="23"/>
                    </w:rPr>
                    <w:t>wystąpił</w:t>
                  </w:r>
                  <w:r w:rsidRPr="00F57402">
                    <w:rPr>
                      <w:sz w:val="23"/>
                      <w:szCs w:val="23"/>
                    </w:rPr>
                    <w:t xml:space="preserve"> </w:t>
                  </w:r>
                  <w:r w:rsidR="004A2025">
                    <w:rPr>
                      <w:sz w:val="23"/>
                      <w:szCs w:val="23"/>
                    </w:rPr>
                    <w:t xml:space="preserve"> </w:t>
                  </w:r>
                  <w:r w:rsidRPr="00F57402">
                    <w:rPr>
                      <w:sz w:val="23"/>
                      <w:szCs w:val="23"/>
                    </w:rPr>
                    <w:t xml:space="preserve">w </w:t>
                  </w:r>
                  <w:r w:rsidR="00B37D31">
                    <w:rPr>
                      <w:sz w:val="23"/>
                      <w:szCs w:val="23"/>
                    </w:rPr>
                    <w:t>trzech</w:t>
                  </w:r>
                  <w:r w:rsidR="00125FB3">
                    <w:rPr>
                      <w:sz w:val="23"/>
                      <w:szCs w:val="23"/>
                    </w:rPr>
                    <w:t xml:space="preserve"> </w:t>
                  </w:r>
                  <w:r w:rsidRPr="00F57402">
                    <w:rPr>
                      <w:sz w:val="23"/>
                      <w:szCs w:val="23"/>
                    </w:rPr>
                    <w:t>województw</w:t>
                  </w:r>
                  <w:r w:rsidR="00125FB3">
                    <w:rPr>
                      <w:sz w:val="23"/>
                      <w:szCs w:val="23"/>
                    </w:rPr>
                    <w:t>ach: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="00BE4D35">
                    <w:rPr>
                      <w:sz w:val="23"/>
                      <w:szCs w:val="23"/>
                    </w:rPr>
                    <w:t xml:space="preserve">opolskim – o </w:t>
                  </w:r>
                  <w:r w:rsidR="00282230">
                    <w:rPr>
                      <w:sz w:val="23"/>
                      <w:szCs w:val="23"/>
                    </w:rPr>
                    <w:t>6</w:t>
                  </w:r>
                  <w:r w:rsidR="00BE4D35">
                    <w:rPr>
                      <w:sz w:val="23"/>
                      <w:szCs w:val="23"/>
                    </w:rPr>
                    <w:t>,</w:t>
                  </w:r>
                  <w:r w:rsidR="00282230">
                    <w:rPr>
                      <w:sz w:val="23"/>
                      <w:szCs w:val="23"/>
                    </w:rPr>
                    <w:t>8</w:t>
                  </w:r>
                  <w:r w:rsidR="00BE4D35">
                    <w:rPr>
                      <w:sz w:val="23"/>
                      <w:szCs w:val="23"/>
                    </w:rPr>
                    <w:t>%</w:t>
                  </w:r>
                  <w:r w:rsidR="00B37D31">
                    <w:rPr>
                      <w:sz w:val="23"/>
                      <w:szCs w:val="23"/>
                    </w:rPr>
                    <w:t>,</w:t>
                  </w:r>
                  <w:r w:rsidR="00BE4D35">
                    <w:rPr>
                      <w:sz w:val="23"/>
                      <w:szCs w:val="23"/>
                    </w:rPr>
                    <w:t xml:space="preserve"> </w:t>
                  </w:r>
                  <w:r w:rsidR="00F97984">
                    <w:rPr>
                      <w:sz w:val="23"/>
                      <w:szCs w:val="23"/>
                    </w:rPr>
                    <w:t>świętokrzyskim</w:t>
                  </w:r>
                  <w:r w:rsidR="004400FB">
                    <w:rPr>
                      <w:sz w:val="23"/>
                      <w:szCs w:val="23"/>
                    </w:rPr>
                    <w:t xml:space="preserve"> </w:t>
                  </w:r>
                  <w:r w:rsidR="00B01C54">
                    <w:rPr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o </w:t>
                  </w:r>
                  <w:r w:rsidR="00B37D31">
                    <w:rPr>
                      <w:sz w:val="23"/>
                      <w:szCs w:val="23"/>
                    </w:rPr>
                    <w:t>5</w:t>
                  </w:r>
                  <w:r>
                    <w:rPr>
                      <w:sz w:val="23"/>
                      <w:szCs w:val="23"/>
                    </w:rPr>
                    <w:t>,</w:t>
                  </w:r>
                  <w:r w:rsidR="00B37D31">
                    <w:rPr>
                      <w:sz w:val="23"/>
                      <w:szCs w:val="23"/>
                    </w:rPr>
                    <w:t>8</w:t>
                  </w:r>
                  <w:r>
                    <w:rPr>
                      <w:sz w:val="23"/>
                      <w:szCs w:val="23"/>
                    </w:rPr>
                    <w:t>%</w:t>
                  </w:r>
                  <w:r w:rsidR="00B37D31">
                    <w:rPr>
                      <w:sz w:val="23"/>
                      <w:szCs w:val="23"/>
                    </w:rPr>
                    <w:t xml:space="preserve"> i lubelskim – o </w:t>
                  </w:r>
                  <w:r w:rsidR="00282230">
                    <w:rPr>
                      <w:sz w:val="23"/>
                      <w:szCs w:val="23"/>
                    </w:rPr>
                    <w:t>1</w:t>
                  </w:r>
                  <w:r w:rsidR="00B37D31">
                    <w:rPr>
                      <w:sz w:val="23"/>
                      <w:szCs w:val="23"/>
                    </w:rPr>
                    <w:t>,</w:t>
                  </w:r>
                  <w:r w:rsidR="00282230">
                    <w:rPr>
                      <w:sz w:val="23"/>
                      <w:szCs w:val="23"/>
                    </w:rPr>
                    <w:t>8</w:t>
                  </w:r>
                  <w:r w:rsidR="00B37D31">
                    <w:rPr>
                      <w:sz w:val="23"/>
                      <w:szCs w:val="23"/>
                    </w:rPr>
                    <w:t>%</w:t>
                  </w:r>
                  <w:r w:rsidR="00BE4D35">
                    <w:rPr>
                      <w:sz w:val="23"/>
                      <w:szCs w:val="23"/>
                    </w:rPr>
                    <w:t>.</w:t>
                  </w:r>
                  <w:r w:rsidR="00125FB3">
                    <w:rPr>
                      <w:sz w:val="23"/>
                      <w:szCs w:val="23"/>
                    </w:rPr>
                    <w:t xml:space="preserve"> </w:t>
                  </w:r>
                  <w:r w:rsidR="00F6378E">
                    <w:rPr>
                      <w:sz w:val="23"/>
                      <w:szCs w:val="23"/>
                    </w:rPr>
                    <w:t xml:space="preserve">                    </w:t>
                  </w:r>
                  <w:r>
                    <w:rPr>
                      <w:sz w:val="23"/>
                      <w:szCs w:val="23"/>
                    </w:rPr>
                    <w:t>W województwie mazowieckim wydano pozwolenia lub dokonano zgłoszenia</w:t>
                  </w:r>
                  <w:r w:rsidR="00B01C54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z projektem budowlanym na budowę </w:t>
                  </w:r>
                  <w:r w:rsidR="00090924">
                    <w:rPr>
                      <w:sz w:val="23"/>
                      <w:szCs w:val="23"/>
                    </w:rPr>
                    <w:t>44895</w:t>
                  </w:r>
                  <w:r>
                    <w:rPr>
                      <w:sz w:val="23"/>
                      <w:szCs w:val="23"/>
                    </w:rPr>
                    <w:t xml:space="preserve"> mieszkań, tj. o </w:t>
                  </w:r>
                  <w:r w:rsidR="00B37D31">
                    <w:rPr>
                      <w:sz w:val="23"/>
                      <w:szCs w:val="23"/>
                    </w:rPr>
                    <w:t>2</w:t>
                  </w:r>
                  <w:r w:rsidR="00090924">
                    <w:rPr>
                      <w:sz w:val="23"/>
                      <w:szCs w:val="23"/>
                    </w:rPr>
                    <w:t>6</w:t>
                  </w:r>
                  <w:r>
                    <w:rPr>
                      <w:sz w:val="23"/>
                      <w:szCs w:val="23"/>
                    </w:rPr>
                    <w:t>,</w:t>
                  </w:r>
                  <w:r w:rsidR="00090924">
                    <w:rPr>
                      <w:sz w:val="23"/>
                      <w:szCs w:val="23"/>
                    </w:rPr>
                    <w:t>7</w:t>
                  </w:r>
                  <w:r>
                    <w:rPr>
                      <w:sz w:val="23"/>
                      <w:szCs w:val="23"/>
                    </w:rPr>
                    <w:t>% więcej niż przed rokiem</w:t>
                  </w:r>
                  <w:r w:rsidR="00B01C54">
                    <w:rPr>
                      <w:sz w:val="23"/>
                      <w:szCs w:val="23"/>
                    </w:rPr>
                    <w:t>.</w:t>
                  </w:r>
                </w:p>
                <w:p w:rsidR="0092588B" w:rsidRDefault="0092588B" w:rsidP="005E6DE7">
                  <w:pPr>
                    <w:spacing w:after="0" w:line="240" w:lineRule="auto"/>
                    <w:ind w:left="142" w:right="-108" w:firstLine="697"/>
                    <w:jc w:val="both"/>
                  </w:pPr>
                  <w:r>
                    <w:rPr>
                      <w:sz w:val="23"/>
                      <w:szCs w:val="23"/>
                    </w:rPr>
                    <w:t xml:space="preserve">W </w:t>
                  </w:r>
                  <w:r w:rsidRPr="0068005F">
                    <w:rPr>
                      <w:sz w:val="23"/>
                      <w:szCs w:val="23"/>
                    </w:rPr>
                    <w:t>okresie styczeń-</w:t>
                  </w:r>
                  <w:r w:rsidR="00E9631C">
                    <w:rPr>
                      <w:sz w:val="23"/>
                      <w:szCs w:val="23"/>
                    </w:rPr>
                    <w:t>październik</w:t>
                  </w:r>
                  <w:r w:rsidRPr="0068005F">
                    <w:rPr>
                      <w:sz w:val="23"/>
                      <w:szCs w:val="23"/>
                    </w:rPr>
                    <w:t xml:space="preserve"> 201</w:t>
                  </w:r>
                  <w:r>
                    <w:rPr>
                      <w:sz w:val="23"/>
                      <w:szCs w:val="23"/>
                    </w:rPr>
                    <w:t>7</w:t>
                  </w:r>
                  <w:r w:rsidRPr="0068005F">
                    <w:rPr>
                      <w:sz w:val="23"/>
                      <w:szCs w:val="23"/>
                    </w:rPr>
                    <w:t xml:space="preserve"> r. </w:t>
                  </w:r>
                  <w:r>
                    <w:rPr>
                      <w:sz w:val="23"/>
                      <w:szCs w:val="23"/>
                    </w:rPr>
                    <w:t xml:space="preserve">wzrost liczby mieszkań, których </w:t>
                  </w:r>
                  <w:r w:rsidRPr="00F071A7">
                    <w:rPr>
                      <w:b/>
                      <w:sz w:val="23"/>
                      <w:szCs w:val="23"/>
                    </w:rPr>
                    <w:t xml:space="preserve">budowę </w:t>
                  </w:r>
                  <w:r w:rsidRPr="0068005F">
                    <w:rPr>
                      <w:b/>
                      <w:sz w:val="23"/>
                      <w:szCs w:val="23"/>
                    </w:rPr>
                    <w:t>rozpoczęto</w:t>
                  </w:r>
                  <w:r>
                    <w:rPr>
                      <w:sz w:val="23"/>
                      <w:szCs w:val="23"/>
                    </w:rPr>
                    <w:t xml:space="preserve"> odnotowano w</w:t>
                  </w:r>
                  <w:r w:rsidR="00125FB3">
                    <w:rPr>
                      <w:sz w:val="23"/>
                      <w:szCs w:val="23"/>
                    </w:rPr>
                    <w:t xml:space="preserve"> </w:t>
                  </w:r>
                  <w:r w:rsidR="00090924">
                    <w:rPr>
                      <w:sz w:val="23"/>
                      <w:szCs w:val="23"/>
                    </w:rPr>
                    <w:t xml:space="preserve">piętnastu </w:t>
                  </w:r>
                  <w:r w:rsidRPr="0068005F">
                    <w:rPr>
                      <w:sz w:val="23"/>
                      <w:szCs w:val="23"/>
                    </w:rPr>
                    <w:t>województw</w:t>
                  </w:r>
                  <w:r>
                    <w:rPr>
                      <w:sz w:val="23"/>
                      <w:szCs w:val="23"/>
                    </w:rPr>
                    <w:t>ach</w:t>
                  </w:r>
                  <w:r w:rsidRPr="0068005F">
                    <w:rPr>
                      <w:sz w:val="23"/>
                      <w:szCs w:val="23"/>
                    </w:rPr>
                    <w:t>, w tym</w:t>
                  </w:r>
                  <w:r>
                    <w:rPr>
                      <w:sz w:val="23"/>
                      <w:szCs w:val="23"/>
                    </w:rPr>
                    <w:t xml:space="preserve"> największy</w:t>
                  </w:r>
                  <w:r w:rsidRPr="0068005F">
                    <w:rPr>
                      <w:sz w:val="23"/>
                      <w:szCs w:val="23"/>
                    </w:rPr>
                    <w:t xml:space="preserve"> w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="00090924">
                    <w:rPr>
                      <w:sz w:val="23"/>
                      <w:szCs w:val="23"/>
                    </w:rPr>
                    <w:t>wielkopolskim</w:t>
                  </w:r>
                  <w:r w:rsidRPr="0068005F">
                    <w:rPr>
                      <w:sz w:val="23"/>
                      <w:szCs w:val="23"/>
                    </w:rPr>
                    <w:t xml:space="preserve"> – </w:t>
                  </w:r>
                  <w:r w:rsidR="00090924">
                    <w:rPr>
                      <w:sz w:val="23"/>
                      <w:szCs w:val="23"/>
                    </w:rPr>
                    <w:t>21916</w:t>
                  </w:r>
                  <w:r>
                    <w:rPr>
                      <w:sz w:val="23"/>
                      <w:szCs w:val="23"/>
                    </w:rPr>
                    <w:t xml:space="preserve"> mieszka</w:t>
                  </w:r>
                  <w:r w:rsidR="00125FB3">
                    <w:rPr>
                      <w:sz w:val="23"/>
                      <w:szCs w:val="23"/>
                    </w:rPr>
                    <w:t>ń</w:t>
                  </w:r>
                  <w:r>
                    <w:rPr>
                      <w:sz w:val="23"/>
                      <w:szCs w:val="23"/>
                    </w:rPr>
                    <w:t xml:space="preserve"> (</w:t>
                  </w:r>
                  <w:r w:rsidR="00090924">
                    <w:rPr>
                      <w:sz w:val="23"/>
                      <w:szCs w:val="23"/>
                    </w:rPr>
                    <w:t>15736</w:t>
                  </w:r>
                  <w:r>
                    <w:rPr>
                      <w:sz w:val="23"/>
                      <w:szCs w:val="23"/>
                    </w:rPr>
                    <w:t xml:space="preserve"> przed rokiem)</w:t>
                  </w:r>
                  <w:r w:rsidRPr="0068005F">
                    <w:rPr>
                      <w:sz w:val="23"/>
                      <w:szCs w:val="23"/>
                    </w:rPr>
                    <w:t xml:space="preserve">, </w:t>
                  </w:r>
                  <w:r w:rsidR="00090924">
                    <w:rPr>
                      <w:sz w:val="23"/>
                      <w:szCs w:val="23"/>
                    </w:rPr>
                    <w:t>pomorskim</w:t>
                  </w:r>
                  <w:r w:rsidR="00AB37F5">
                    <w:rPr>
                      <w:sz w:val="23"/>
                      <w:szCs w:val="23"/>
                    </w:rPr>
                    <w:t xml:space="preserve"> </w:t>
                  </w:r>
                  <w:r w:rsidRPr="0068005F">
                    <w:rPr>
                      <w:sz w:val="23"/>
                      <w:szCs w:val="23"/>
                    </w:rPr>
                    <w:t xml:space="preserve">– </w:t>
                  </w:r>
                  <w:r w:rsidR="00F07061">
                    <w:rPr>
                      <w:sz w:val="23"/>
                      <w:szCs w:val="23"/>
                    </w:rPr>
                    <w:t>1</w:t>
                  </w:r>
                  <w:r w:rsidR="00090924">
                    <w:rPr>
                      <w:sz w:val="23"/>
                      <w:szCs w:val="23"/>
                    </w:rPr>
                    <w:t>7385</w:t>
                  </w:r>
                  <w:r>
                    <w:rPr>
                      <w:sz w:val="23"/>
                      <w:szCs w:val="23"/>
                    </w:rPr>
                    <w:t xml:space="preserve"> mieszka</w:t>
                  </w:r>
                  <w:r w:rsidR="00F97984">
                    <w:rPr>
                      <w:sz w:val="23"/>
                      <w:szCs w:val="23"/>
                    </w:rPr>
                    <w:t>ń</w:t>
                  </w:r>
                  <w:r>
                    <w:rPr>
                      <w:sz w:val="23"/>
                      <w:szCs w:val="23"/>
                    </w:rPr>
                    <w:t xml:space="preserve"> (</w:t>
                  </w:r>
                  <w:r w:rsidR="00F97984">
                    <w:rPr>
                      <w:sz w:val="23"/>
                      <w:szCs w:val="23"/>
                    </w:rPr>
                    <w:t>1</w:t>
                  </w:r>
                  <w:r w:rsidR="00AB37F5">
                    <w:rPr>
                      <w:sz w:val="23"/>
                      <w:szCs w:val="23"/>
                    </w:rPr>
                    <w:t>30</w:t>
                  </w:r>
                  <w:r w:rsidR="00090924">
                    <w:rPr>
                      <w:sz w:val="23"/>
                      <w:szCs w:val="23"/>
                    </w:rPr>
                    <w:t>39</w:t>
                  </w:r>
                  <w:r>
                    <w:rPr>
                      <w:sz w:val="23"/>
                      <w:szCs w:val="23"/>
                    </w:rPr>
                    <w:t xml:space="preserve"> przed rokiem)</w:t>
                  </w:r>
                  <w:r w:rsidR="00132C4E">
                    <w:rPr>
                      <w:sz w:val="23"/>
                      <w:szCs w:val="23"/>
                    </w:rPr>
                    <w:t>,</w:t>
                  </w:r>
                  <w:r w:rsidR="00EA76FC">
                    <w:rPr>
                      <w:sz w:val="23"/>
                      <w:szCs w:val="23"/>
                    </w:rPr>
                    <w:t xml:space="preserve"> </w:t>
                  </w:r>
                  <w:r w:rsidR="00090924">
                    <w:rPr>
                      <w:sz w:val="23"/>
                      <w:szCs w:val="23"/>
                    </w:rPr>
                    <w:t>opolskim</w:t>
                  </w:r>
                  <w:r w:rsidR="00AB37F5">
                    <w:rPr>
                      <w:sz w:val="23"/>
                      <w:szCs w:val="23"/>
                    </w:rPr>
                    <w:t xml:space="preserve"> </w:t>
                  </w:r>
                  <w:r w:rsidRPr="0068005F">
                    <w:rPr>
                      <w:sz w:val="23"/>
                      <w:szCs w:val="23"/>
                    </w:rPr>
                    <w:t xml:space="preserve">– </w:t>
                  </w:r>
                  <w:r w:rsidR="00090924">
                    <w:rPr>
                      <w:sz w:val="23"/>
                      <w:szCs w:val="23"/>
                    </w:rPr>
                    <w:t>2384</w:t>
                  </w:r>
                  <w:r>
                    <w:rPr>
                      <w:sz w:val="23"/>
                      <w:szCs w:val="23"/>
                    </w:rPr>
                    <w:t xml:space="preserve"> mieszka</w:t>
                  </w:r>
                  <w:r w:rsidR="00090924">
                    <w:rPr>
                      <w:sz w:val="23"/>
                      <w:szCs w:val="23"/>
                    </w:rPr>
                    <w:t>nia</w:t>
                  </w:r>
                  <w:r>
                    <w:rPr>
                      <w:sz w:val="23"/>
                      <w:szCs w:val="23"/>
                    </w:rPr>
                    <w:t xml:space="preserve"> (</w:t>
                  </w:r>
                  <w:r w:rsidR="00090924">
                    <w:rPr>
                      <w:sz w:val="23"/>
                      <w:szCs w:val="23"/>
                    </w:rPr>
                    <w:t>1849</w:t>
                  </w:r>
                  <w:r>
                    <w:rPr>
                      <w:sz w:val="23"/>
                      <w:szCs w:val="23"/>
                    </w:rPr>
                    <w:t xml:space="preserve"> przed rokiem)</w:t>
                  </w:r>
                  <w:r w:rsidR="00090924">
                    <w:rPr>
                      <w:sz w:val="23"/>
                      <w:szCs w:val="23"/>
                    </w:rPr>
                    <w:t xml:space="preserve"> natomiast spadek odnotowano tylko w województwie śląskim do 11372 mieszkań (11547 przed rokiem)</w:t>
                  </w:r>
                  <w:r>
                    <w:rPr>
                      <w:sz w:val="23"/>
                      <w:szCs w:val="23"/>
                    </w:rPr>
                    <w:t xml:space="preserve">. </w:t>
                  </w:r>
                  <w:r w:rsidR="001B4788">
                    <w:rPr>
                      <w:sz w:val="23"/>
                      <w:szCs w:val="23"/>
                    </w:rPr>
                    <w:t xml:space="preserve">W województwie mazowieckim rozpoczęto budowę </w:t>
                  </w:r>
                  <w:r w:rsidR="00AB37F5">
                    <w:rPr>
                      <w:sz w:val="23"/>
                      <w:szCs w:val="23"/>
                    </w:rPr>
                    <w:t>3</w:t>
                  </w:r>
                  <w:r w:rsidR="00647424">
                    <w:rPr>
                      <w:sz w:val="23"/>
                      <w:szCs w:val="23"/>
                    </w:rPr>
                    <w:t>5830</w:t>
                  </w:r>
                  <w:r w:rsidR="001B4788">
                    <w:rPr>
                      <w:sz w:val="23"/>
                      <w:szCs w:val="23"/>
                    </w:rPr>
                    <w:t xml:space="preserve"> mieszkań</w:t>
                  </w:r>
                  <w:r w:rsidR="005E6DE7">
                    <w:rPr>
                      <w:sz w:val="23"/>
                      <w:szCs w:val="23"/>
                    </w:rPr>
                    <w:t xml:space="preserve"> (31875</w:t>
                  </w:r>
                  <w:r w:rsidR="001B4788">
                    <w:rPr>
                      <w:sz w:val="23"/>
                      <w:szCs w:val="23"/>
                    </w:rPr>
                    <w:t xml:space="preserve">  </w:t>
                  </w:r>
                  <w:r w:rsidR="005E6DE7">
                    <w:rPr>
                      <w:sz w:val="23"/>
                      <w:szCs w:val="23"/>
                    </w:rPr>
                    <w:t xml:space="preserve">przed </w:t>
                  </w:r>
                  <w:r w:rsidR="001B4788">
                    <w:rPr>
                      <w:sz w:val="23"/>
                      <w:szCs w:val="23"/>
                    </w:rPr>
                    <w:t>rokiem</w:t>
                  </w:r>
                  <w:r w:rsidR="005E6DE7">
                    <w:rPr>
                      <w:sz w:val="23"/>
                      <w:szCs w:val="23"/>
                    </w:rPr>
                    <w:t>).</w:t>
                  </w:r>
                </w:p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  <w:p w:rsidR="0092588B" w:rsidRDefault="0092588B" w:rsidP="00670E4C"/>
              </w:txbxContent>
            </v:textbox>
          </v:shape>
        </w:pict>
      </w:r>
    </w:p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Default="006942A3" w:rsidP="0032013B">
      <w:pPr>
        <w:ind w:firstLine="142"/>
      </w:pPr>
      <w:r>
        <w:rPr>
          <w:noProof/>
        </w:rPr>
        <w:lastRenderedPageBreak/>
        <w:drawing>
          <wp:inline distT="0" distB="0" distL="0" distR="0">
            <wp:extent cx="5495925" cy="2919939"/>
            <wp:effectExtent l="19050" t="0" r="9525" b="0"/>
            <wp:docPr id="2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371" cy="292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563D" w:rsidRDefault="006942A3" w:rsidP="000438D0">
      <w:pPr>
        <w:ind w:left="142"/>
      </w:pPr>
      <w:r>
        <w:rPr>
          <w:noProof/>
        </w:rPr>
        <w:drawing>
          <wp:inline distT="0" distB="0" distL="0" distR="0">
            <wp:extent cx="5495925" cy="3181350"/>
            <wp:effectExtent l="19050" t="0" r="9525" b="0"/>
            <wp:docPr id="3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353" cy="318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0E4C" w:rsidRPr="00451D55" w:rsidRDefault="006942A3" w:rsidP="000438D0">
      <w:pPr>
        <w:ind w:left="142"/>
      </w:pPr>
      <w:r>
        <w:rPr>
          <w:noProof/>
        </w:rPr>
        <w:drawing>
          <wp:inline distT="0" distB="0" distL="0" distR="0">
            <wp:extent cx="5591175" cy="3162300"/>
            <wp:effectExtent l="19050" t="0" r="9525" b="0"/>
            <wp:docPr id="4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16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0E4C" w:rsidRPr="00451D55" w:rsidRDefault="006942A3" w:rsidP="00CC0C02">
      <w:pPr>
        <w:ind w:left="284" w:hanging="142"/>
      </w:pPr>
      <w:r>
        <w:rPr>
          <w:noProof/>
        </w:rPr>
        <w:lastRenderedPageBreak/>
        <w:drawing>
          <wp:inline distT="0" distB="0" distL="0" distR="0">
            <wp:extent cx="5638800" cy="3139440"/>
            <wp:effectExtent l="1905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13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16A8" w:rsidRDefault="00D473BC" w:rsidP="005E6DE7">
      <w:pPr>
        <w:tabs>
          <w:tab w:val="left" w:pos="1134"/>
        </w:tabs>
        <w:ind w:hanging="142"/>
      </w:pPr>
      <w:r>
        <w:rPr>
          <w:noProof/>
        </w:rPr>
        <w:t xml:space="preserve"> </w:t>
      </w:r>
      <w:r w:rsidR="005E6DE7">
        <w:rPr>
          <w:noProof/>
        </w:rPr>
        <w:drawing>
          <wp:inline distT="0" distB="0" distL="0" distR="0">
            <wp:extent cx="5768340" cy="3756660"/>
            <wp:effectExtent l="19050" t="0" r="381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375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285D" w:rsidRDefault="00351B74">
      <w:r>
        <w:rPr>
          <w:noProof/>
        </w:rPr>
        <w:pict>
          <v:shape id="_x0000_s1033" type="#_x0000_t202" style="position:absolute;margin-left:252.9pt;margin-top:5.6pt;width:247.1pt;height:94.7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" stroked="f" strokecolor="#4f81bd [3204]">
            <v:stroke dashstyle="3 1"/>
            <v:textbox>
              <w:txbxContent>
                <w:p w:rsidR="0092588B" w:rsidRPr="00FE035D" w:rsidRDefault="0092588B" w:rsidP="00B77AA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E035D">
                    <w:rPr>
                      <w:rFonts w:cstheme="minorHAnsi"/>
                      <w:sz w:val="24"/>
                      <w:szCs w:val="24"/>
                    </w:rPr>
                    <w:t>Rozpowszechnianie:</w:t>
                  </w:r>
                  <w:r w:rsidRPr="00FE035D">
                    <w:rPr>
                      <w:rFonts w:cstheme="minorHAnsi"/>
                      <w:sz w:val="24"/>
                      <w:szCs w:val="24"/>
                    </w:rPr>
                    <w:br/>
                  </w:r>
                  <w:r w:rsidRPr="00FE035D">
                    <w:rPr>
                      <w:rFonts w:cstheme="minorHAnsi"/>
                      <w:b/>
                      <w:sz w:val="24"/>
                      <w:szCs w:val="24"/>
                    </w:rPr>
                    <w:t>Rzecznik Prasowy Prezesa GUS</w:t>
                  </w:r>
                </w:p>
                <w:p w:rsidR="0092588B" w:rsidRPr="00FE035D" w:rsidRDefault="0092588B" w:rsidP="00B77AA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K</w:t>
                  </w:r>
                  <w:r w:rsidRPr="00FE035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rolina </w:t>
                  </w:r>
                  <w:proofErr w:type="spellStart"/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Dawidziuk</w:t>
                  </w:r>
                  <w:proofErr w:type="spellEnd"/>
                </w:p>
                <w:p w:rsidR="0092588B" w:rsidRPr="00FE035D" w:rsidRDefault="0092588B" w:rsidP="00B77AA2">
                  <w:pPr>
                    <w:pStyle w:val="Nagwek3"/>
                    <w:spacing w:line="240" w:lineRule="auto"/>
                    <w:rPr>
                      <w:rFonts w:asciiTheme="minorHAnsi" w:hAnsiTheme="minorHAnsi" w:cstheme="minorHAnsi"/>
                      <w:szCs w:val="24"/>
                      <w:lang w:val="fi-FI"/>
                    </w:rPr>
                  </w:pPr>
                  <w:r w:rsidRPr="00FE035D">
                    <w:rPr>
                      <w:rFonts w:asciiTheme="minorHAnsi" w:hAnsiTheme="minorHAnsi" w:cstheme="minorHAnsi"/>
                      <w:szCs w:val="24"/>
                      <w:lang w:val="fi-FI"/>
                    </w:rPr>
                    <w:t>Tel: 22 608 34</w:t>
                  </w:r>
                  <w:r>
                    <w:rPr>
                      <w:rFonts w:asciiTheme="minorHAnsi" w:hAnsiTheme="minorHAnsi" w:cstheme="minorHAnsi"/>
                      <w:szCs w:val="24"/>
                      <w:lang w:val="fi-FI"/>
                    </w:rPr>
                    <w:t>7</w:t>
                  </w:r>
                  <w:r w:rsidRPr="00FE035D">
                    <w:rPr>
                      <w:rFonts w:asciiTheme="minorHAnsi" w:hAnsiTheme="minorHAnsi" w:cstheme="minorHAnsi"/>
                      <w:szCs w:val="24"/>
                      <w:lang w:val="fi-FI"/>
                    </w:rPr>
                    <w:t>5, 22 608 3009</w:t>
                  </w:r>
                </w:p>
                <w:p w:rsidR="0092588B" w:rsidRPr="00FE035D" w:rsidRDefault="0092588B" w:rsidP="00B77AA2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  <w:lang w:val="de-DE"/>
                    </w:rPr>
                  </w:pPr>
                  <w:r w:rsidRPr="00FE035D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e-mail</w:t>
                  </w:r>
                  <w:r w:rsidRPr="00FE035D">
                    <w:rPr>
                      <w:rFonts w:cstheme="minorHAnsi"/>
                      <w:b/>
                      <w:sz w:val="24"/>
                      <w:szCs w:val="24"/>
                      <w:lang w:val="en-GB"/>
                    </w:rPr>
                    <w:t xml:space="preserve">: </w:t>
                  </w:r>
                  <w:hyperlink r:id="rId14" w:history="1">
                    <w:r w:rsidRPr="00FE035D">
                      <w:rPr>
                        <w:rStyle w:val="Hipercze"/>
                        <w:rFonts w:cstheme="minorHAnsi"/>
                        <w:b/>
                        <w:sz w:val="24"/>
                        <w:szCs w:val="24"/>
                        <w:lang w:val="en-GB"/>
                      </w:rPr>
                      <w:t>rzecznik@stat.gov.pl</w:t>
                    </w:r>
                  </w:hyperlink>
                  <w:r w:rsidRPr="00FE035D">
                    <w:rPr>
                      <w:rFonts w:cstheme="minorHAnsi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8.4pt;margin-top:5.6pt;width:239.6pt;height:93.7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" stroked="f" strokecolor="#4f81bd [3204]">
            <v:stroke dashstyle="3 1"/>
            <v:textbox>
              <w:txbxContent>
                <w:p w:rsidR="0092588B" w:rsidRPr="00FE035D" w:rsidRDefault="0092588B" w:rsidP="00B77AA2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E035D">
                    <w:rPr>
                      <w:rFonts w:cstheme="minorHAnsi"/>
                      <w:sz w:val="24"/>
                      <w:szCs w:val="24"/>
                    </w:rPr>
                    <w:t>Opracowanie merytoryczne:</w:t>
                  </w:r>
                </w:p>
                <w:p w:rsidR="0092588B" w:rsidRPr="00FE035D" w:rsidRDefault="0092588B" w:rsidP="00B77AA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E035D">
                    <w:rPr>
                      <w:rFonts w:cstheme="minorHAnsi"/>
                      <w:b/>
                      <w:sz w:val="24"/>
                      <w:szCs w:val="24"/>
                    </w:rPr>
                    <w:t xml:space="preserve">Departament 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Produkcji</w:t>
                  </w:r>
                </w:p>
                <w:p w:rsidR="0092588B" w:rsidRPr="00FE035D" w:rsidRDefault="0092588B" w:rsidP="00B77AA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Janusz Kobylarz</w:t>
                  </w:r>
                </w:p>
                <w:p w:rsidR="0092588B" w:rsidRPr="00FE035D" w:rsidRDefault="0092588B" w:rsidP="00B77AA2">
                  <w:pPr>
                    <w:pStyle w:val="Nagwek3"/>
                    <w:spacing w:line="240" w:lineRule="auto"/>
                    <w:rPr>
                      <w:rFonts w:asciiTheme="minorHAnsi" w:hAnsiTheme="minorHAnsi" w:cstheme="minorHAnsi"/>
                      <w:szCs w:val="24"/>
                      <w:lang w:val="fi-FI"/>
                    </w:rPr>
                  </w:pPr>
                  <w:r w:rsidRPr="00FE035D">
                    <w:rPr>
                      <w:rFonts w:asciiTheme="minorHAnsi" w:hAnsiTheme="minorHAnsi" w:cstheme="minorHAnsi"/>
                      <w:szCs w:val="24"/>
                      <w:lang w:val="fi-FI"/>
                    </w:rPr>
                    <w:t xml:space="preserve">Tel: 22 608 </w:t>
                  </w:r>
                  <w:r>
                    <w:rPr>
                      <w:rFonts w:asciiTheme="minorHAnsi" w:hAnsiTheme="minorHAnsi" w:cstheme="minorHAnsi"/>
                      <w:szCs w:val="24"/>
                      <w:lang w:val="fi-FI"/>
                    </w:rPr>
                    <w:t>37 67</w:t>
                  </w:r>
                </w:p>
              </w:txbxContent>
            </v:textbox>
          </v:shape>
        </w:pict>
      </w:r>
    </w:p>
    <w:p w:rsidR="0094285D" w:rsidRDefault="0094285D"/>
    <w:p w:rsidR="0094285D" w:rsidRDefault="0094285D"/>
    <w:p w:rsidR="0094285D" w:rsidRDefault="00351B74">
      <w:r>
        <w:rPr>
          <w:noProof/>
        </w:rPr>
        <w:pict>
          <v:shape id="_x0000_s1036" type="#_x0000_t202" style="position:absolute;margin-left:8.4pt;margin-top:22.95pt;width:501pt;height:22.3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" stroked="f" strokecolor="#4f81bd [3204]">
            <v:stroke dashstyle="3 1"/>
            <v:textbox>
              <w:txbxContent>
                <w:p w:rsidR="0092588B" w:rsidRPr="00D82788" w:rsidRDefault="0092588B" w:rsidP="00D82788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Więcej na: </w:t>
                  </w:r>
                  <w:hyperlink r:id="rId15" w:history="1">
                    <w:r w:rsidRPr="00FC2475">
                      <w:rPr>
                        <w:rStyle w:val="Hipercze"/>
                        <w:sz w:val="22"/>
                        <w:szCs w:val="24"/>
                      </w:rPr>
                      <w:t>http://stat.gov.pl/obszary-tematyczne/przemysl-budownictwo-srodki-trwale/</w:t>
                    </w:r>
                  </w:hyperlink>
                </w:p>
              </w:txbxContent>
            </v:textbox>
          </v:shape>
        </w:pict>
      </w:r>
    </w:p>
    <w:sectPr w:rsidR="0094285D" w:rsidSect="002C1046">
      <w:footerReference w:type="default" r:id="rId16"/>
      <w:pgSz w:w="11906" w:h="16838" w:code="9"/>
      <w:pgMar w:top="851" w:right="1134" w:bottom="851" w:left="1418" w:header="425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516" w:rsidRDefault="00D81516" w:rsidP="00670E4C">
      <w:pPr>
        <w:spacing w:after="0" w:line="240" w:lineRule="auto"/>
      </w:pPr>
      <w:r>
        <w:separator/>
      </w:r>
    </w:p>
  </w:endnote>
  <w:endnote w:type="continuationSeparator" w:id="0">
    <w:p w:rsidR="00D81516" w:rsidRDefault="00D81516" w:rsidP="0067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568450"/>
      <w:docPartObj>
        <w:docPartGallery w:val="Page Numbers (Bottom of Page)"/>
        <w:docPartUnique/>
      </w:docPartObj>
    </w:sdtPr>
    <w:sdtContent>
      <w:p w:rsidR="0092588B" w:rsidRDefault="00351B74">
        <w:pPr>
          <w:pStyle w:val="Stopka"/>
          <w:jc w:val="center"/>
        </w:pPr>
        <w:fldSimple w:instr="PAGE   \* MERGEFORMAT">
          <w:r w:rsidR="00296C98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516" w:rsidRDefault="00D81516" w:rsidP="00670E4C">
      <w:pPr>
        <w:spacing w:after="0" w:line="240" w:lineRule="auto"/>
      </w:pPr>
      <w:r>
        <w:separator/>
      </w:r>
    </w:p>
  </w:footnote>
  <w:footnote w:type="continuationSeparator" w:id="0">
    <w:p w:rsidR="00D81516" w:rsidRDefault="00D81516" w:rsidP="00670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318E2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417A"/>
    <w:rsid w:val="00000686"/>
    <w:rsid w:val="00005892"/>
    <w:rsid w:val="00005E2D"/>
    <w:rsid w:val="00006538"/>
    <w:rsid w:val="00006D40"/>
    <w:rsid w:val="000143C3"/>
    <w:rsid w:val="0002513C"/>
    <w:rsid w:val="0003026B"/>
    <w:rsid w:val="0003075D"/>
    <w:rsid w:val="00030DE0"/>
    <w:rsid w:val="00031929"/>
    <w:rsid w:val="0003194C"/>
    <w:rsid w:val="00031D85"/>
    <w:rsid w:val="000336C3"/>
    <w:rsid w:val="000347D8"/>
    <w:rsid w:val="00035F32"/>
    <w:rsid w:val="000410C4"/>
    <w:rsid w:val="00042678"/>
    <w:rsid w:val="000438D0"/>
    <w:rsid w:val="00044BE5"/>
    <w:rsid w:val="00046185"/>
    <w:rsid w:val="000500DC"/>
    <w:rsid w:val="00053CD1"/>
    <w:rsid w:val="00055F39"/>
    <w:rsid w:val="00057202"/>
    <w:rsid w:val="00060F7E"/>
    <w:rsid w:val="00061F05"/>
    <w:rsid w:val="00062F55"/>
    <w:rsid w:val="00067050"/>
    <w:rsid w:val="0006743C"/>
    <w:rsid w:val="00067D82"/>
    <w:rsid w:val="000738D8"/>
    <w:rsid w:val="00080B86"/>
    <w:rsid w:val="00081AF6"/>
    <w:rsid w:val="00081B4A"/>
    <w:rsid w:val="0008453C"/>
    <w:rsid w:val="00084DAB"/>
    <w:rsid w:val="00086405"/>
    <w:rsid w:val="00086B71"/>
    <w:rsid w:val="00090924"/>
    <w:rsid w:val="0009197A"/>
    <w:rsid w:val="00094FA4"/>
    <w:rsid w:val="0009511A"/>
    <w:rsid w:val="00095552"/>
    <w:rsid w:val="000A2592"/>
    <w:rsid w:val="000A3D65"/>
    <w:rsid w:val="000B1671"/>
    <w:rsid w:val="000B1BD8"/>
    <w:rsid w:val="000B3198"/>
    <w:rsid w:val="000C0A92"/>
    <w:rsid w:val="000C0F16"/>
    <w:rsid w:val="000C32B6"/>
    <w:rsid w:val="000C3550"/>
    <w:rsid w:val="000C46D3"/>
    <w:rsid w:val="000C5004"/>
    <w:rsid w:val="000C55C5"/>
    <w:rsid w:val="000D254C"/>
    <w:rsid w:val="000D5082"/>
    <w:rsid w:val="000D7171"/>
    <w:rsid w:val="000D765A"/>
    <w:rsid w:val="000E607A"/>
    <w:rsid w:val="000F0990"/>
    <w:rsid w:val="000F4468"/>
    <w:rsid w:val="000F5293"/>
    <w:rsid w:val="000F5911"/>
    <w:rsid w:val="000F5B41"/>
    <w:rsid w:val="00100B4C"/>
    <w:rsid w:val="00104EA5"/>
    <w:rsid w:val="0011033E"/>
    <w:rsid w:val="00112F24"/>
    <w:rsid w:val="00113229"/>
    <w:rsid w:val="00120946"/>
    <w:rsid w:val="001221B1"/>
    <w:rsid w:val="00122FC2"/>
    <w:rsid w:val="00124C43"/>
    <w:rsid w:val="00125FB3"/>
    <w:rsid w:val="00126A7B"/>
    <w:rsid w:val="00126C44"/>
    <w:rsid w:val="0012707B"/>
    <w:rsid w:val="00132C4E"/>
    <w:rsid w:val="00133944"/>
    <w:rsid w:val="00135947"/>
    <w:rsid w:val="00136C66"/>
    <w:rsid w:val="0014139F"/>
    <w:rsid w:val="00141B0D"/>
    <w:rsid w:val="0014284A"/>
    <w:rsid w:val="00142AC5"/>
    <w:rsid w:val="001431BC"/>
    <w:rsid w:val="001515C3"/>
    <w:rsid w:val="00152210"/>
    <w:rsid w:val="00152E5E"/>
    <w:rsid w:val="00154B02"/>
    <w:rsid w:val="00156EC8"/>
    <w:rsid w:val="001601B9"/>
    <w:rsid w:val="001609D8"/>
    <w:rsid w:val="00160FFF"/>
    <w:rsid w:val="00161742"/>
    <w:rsid w:val="00163581"/>
    <w:rsid w:val="00175D70"/>
    <w:rsid w:val="00175EBA"/>
    <w:rsid w:val="00177C27"/>
    <w:rsid w:val="00180786"/>
    <w:rsid w:val="00180849"/>
    <w:rsid w:val="00180FB6"/>
    <w:rsid w:val="00183F68"/>
    <w:rsid w:val="00185522"/>
    <w:rsid w:val="00185A72"/>
    <w:rsid w:val="00187932"/>
    <w:rsid w:val="001933EC"/>
    <w:rsid w:val="00195572"/>
    <w:rsid w:val="001963E4"/>
    <w:rsid w:val="001A21A3"/>
    <w:rsid w:val="001B08C1"/>
    <w:rsid w:val="001B163C"/>
    <w:rsid w:val="001B2EF8"/>
    <w:rsid w:val="001B3D6D"/>
    <w:rsid w:val="001B3F17"/>
    <w:rsid w:val="001B4788"/>
    <w:rsid w:val="001B71C8"/>
    <w:rsid w:val="001B7FBD"/>
    <w:rsid w:val="001C1700"/>
    <w:rsid w:val="001C1720"/>
    <w:rsid w:val="001C17E4"/>
    <w:rsid w:val="001C466E"/>
    <w:rsid w:val="001C5066"/>
    <w:rsid w:val="001C50B9"/>
    <w:rsid w:val="001C59EC"/>
    <w:rsid w:val="001C5B6A"/>
    <w:rsid w:val="001D2E5F"/>
    <w:rsid w:val="001D5374"/>
    <w:rsid w:val="001D55BE"/>
    <w:rsid w:val="001D569B"/>
    <w:rsid w:val="001D6777"/>
    <w:rsid w:val="001D6AF1"/>
    <w:rsid w:val="001D7A53"/>
    <w:rsid w:val="001E3384"/>
    <w:rsid w:val="001E3B76"/>
    <w:rsid w:val="001E3EA1"/>
    <w:rsid w:val="001E6932"/>
    <w:rsid w:val="001E739F"/>
    <w:rsid w:val="001F0ECD"/>
    <w:rsid w:val="001F12AA"/>
    <w:rsid w:val="001F351C"/>
    <w:rsid w:val="001F3E8C"/>
    <w:rsid w:val="00202D42"/>
    <w:rsid w:val="0020332C"/>
    <w:rsid w:val="00204633"/>
    <w:rsid w:val="002046A9"/>
    <w:rsid w:val="0020478C"/>
    <w:rsid w:val="00205B7F"/>
    <w:rsid w:val="00206AA4"/>
    <w:rsid w:val="00211A99"/>
    <w:rsid w:val="00212D4B"/>
    <w:rsid w:val="002167DB"/>
    <w:rsid w:val="00216D8C"/>
    <w:rsid w:val="00222135"/>
    <w:rsid w:val="002263CE"/>
    <w:rsid w:val="00232D8F"/>
    <w:rsid w:val="002407BC"/>
    <w:rsid w:val="0024317C"/>
    <w:rsid w:val="002465EC"/>
    <w:rsid w:val="00247DBA"/>
    <w:rsid w:val="00247EC1"/>
    <w:rsid w:val="002519F1"/>
    <w:rsid w:val="00252212"/>
    <w:rsid w:val="002549B9"/>
    <w:rsid w:val="00255FAF"/>
    <w:rsid w:val="002563AC"/>
    <w:rsid w:val="002575B2"/>
    <w:rsid w:val="00260777"/>
    <w:rsid w:val="002716A8"/>
    <w:rsid w:val="00271BB9"/>
    <w:rsid w:val="002732F7"/>
    <w:rsid w:val="00273CE7"/>
    <w:rsid w:val="0027602A"/>
    <w:rsid w:val="0028011B"/>
    <w:rsid w:val="00282230"/>
    <w:rsid w:val="00284996"/>
    <w:rsid w:val="00285EE4"/>
    <w:rsid w:val="002911D3"/>
    <w:rsid w:val="002918EB"/>
    <w:rsid w:val="00293523"/>
    <w:rsid w:val="00296C98"/>
    <w:rsid w:val="00297280"/>
    <w:rsid w:val="002A079F"/>
    <w:rsid w:val="002A0E8E"/>
    <w:rsid w:val="002A26B4"/>
    <w:rsid w:val="002A2BF7"/>
    <w:rsid w:val="002A3703"/>
    <w:rsid w:val="002A6812"/>
    <w:rsid w:val="002B2260"/>
    <w:rsid w:val="002B2556"/>
    <w:rsid w:val="002B41D2"/>
    <w:rsid w:val="002C0F1C"/>
    <w:rsid w:val="002C1046"/>
    <w:rsid w:val="002C496C"/>
    <w:rsid w:val="002C6287"/>
    <w:rsid w:val="002D5959"/>
    <w:rsid w:val="002D62A3"/>
    <w:rsid w:val="002D73B1"/>
    <w:rsid w:val="002D7C14"/>
    <w:rsid w:val="002E1B44"/>
    <w:rsid w:val="002E4AA6"/>
    <w:rsid w:val="002E6DBE"/>
    <w:rsid w:val="002F069E"/>
    <w:rsid w:val="002F0F77"/>
    <w:rsid w:val="002F5002"/>
    <w:rsid w:val="002F76B8"/>
    <w:rsid w:val="002F7D81"/>
    <w:rsid w:val="003003E6"/>
    <w:rsid w:val="00302891"/>
    <w:rsid w:val="003032E9"/>
    <w:rsid w:val="00305236"/>
    <w:rsid w:val="00307904"/>
    <w:rsid w:val="003108A8"/>
    <w:rsid w:val="00311798"/>
    <w:rsid w:val="00311F19"/>
    <w:rsid w:val="0031230D"/>
    <w:rsid w:val="00315B12"/>
    <w:rsid w:val="00316066"/>
    <w:rsid w:val="00317D46"/>
    <w:rsid w:val="00317DEC"/>
    <w:rsid w:val="0032013B"/>
    <w:rsid w:val="003217ED"/>
    <w:rsid w:val="00321D90"/>
    <w:rsid w:val="00322D00"/>
    <w:rsid w:val="003259BA"/>
    <w:rsid w:val="00325A91"/>
    <w:rsid w:val="003269D4"/>
    <w:rsid w:val="00332248"/>
    <w:rsid w:val="00333DD3"/>
    <w:rsid w:val="003354F5"/>
    <w:rsid w:val="00335AC4"/>
    <w:rsid w:val="00341073"/>
    <w:rsid w:val="00341770"/>
    <w:rsid w:val="0034419F"/>
    <w:rsid w:val="00350DC7"/>
    <w:rsid w:val="00351306"/>
    <w:rsid w:val="00351B74"/>
    <w:rsid w:val="003538B3"/>
    <w:rsid w:val="0035637C"/>
    <w:rsid w:val="003608FD"/>
    <w:rsid w:val="00360A15"/>
    <w:rsid w:val="003643EC"/>
    <w:rsid w:val="00364546"/>
    <w:rsid w:val="003663C7"/>
    <w:rsid w:val="00371AAF"/>
    <w:rsid w:val="0037729F"/>
    <w:rsid w:val="003776E0"/>
    <w:rsid w:val="003778AA"/>
    <w:rsid w:val="003778CE"/>
    <w:rsid w:val="00380808"/>
    <w:rsid w:val="00381E2C"/>
    <w:rsid w:val="00382D0C"/>
    <w:rsid w:val="003840BE"/>
    <w:rsid w:val="003907D3"/>
    <w:rsid w:val="00390B19"/>
    <w:rsid w:val="00391417"/>
    <w:rsid w:val="00391DDC"/>
    <w:rsid w:val="00391FE3"/>
    <w:rsid w:val="00392961"/>
    <w:rsid w:val="0039650B"/>
    <w:rsid w:val="00396CA7"/>
    <w:rsid w:val="00397140"/>
    <w:rsid w:val="003A5BCB"/>
    <w:rsid w:val="003A6BD0"/>
    <w:rsid w:val="003B179C"/>
    <w:rsid w:val="003B1848"/>
    <w:rsid w:val="003B32B8"/>
    <w:rsid w:val="003B3DB4"/>
    <w:rsid w:val="003C0942"/>
    <w:rsid w:val="003C3260"/>
    <w:rsid w:val="003C4600"/>
    <w:rsid w:val="003C52F4"/>
    <w:rsid w:val="003C7295"/>
    <w:rsid w:val="003D1A39"/>
    <w:rsid w:val="003D4088"/>
    <w:rsid w:val="003D7463"/>
    <w:rsid w:val="003E0276"/>
    <w:rsid w:val="003E5045"/>
    <w:rsid w:val="003E64DF"/>
    <w:rsid w:val="003E789A"/>
    <w:rsid w:val="003E7CE5"/>
    <w:rsid w:val="003F0D4A"/>
    <w:rsid w:val="003F5A47"/>
    <w:rsid w:val="003F69EF"/>
    <w:rsid w:val="00400389"/>
    <w:rsid w:val="004005A3"/>
    <w:rsid w:val="00401A4D"/>
    <w:rsid w:val="0040266E"/>
    <w:rsid w:val="00402F8D"/>
    <w:rsid w:val="00404E4D"/>
    <w:rsid w:val="00406462"/>
    <w:rsid w:val="00410D0B"/>
    <w:rsid w:val="00412B8F"/>
    <w:rsid w:val="00412BA1"/>
    <w:rsid w:val="004139D9"/>
    <w:rsid w:val="0041636F"/>
    <w:rsid w:val="00416BFB"/>
    <w:rsid w:val="004175E8"/>
    <w:rsid w:val="004203B5"/>
    <w:rsid w:val="004235BF"/>
    <w:rsid w:val="00430737"/>
    <w:rsid w:val="00430B5A"/>
    <w:rsid w:val="00433AD1"/>
    <w:rsid w:val="00434583"/>
    <w:rsid w:val="004400FB"/>
    <w:rsid w:val="004416A6"/>
    <w:rsid w:val="0044369E"/>
    <w:rsid w:val="004441B0"/>
    <w:rsid w:val="00444DBE"/>
    <w:rsid w:val="00445F1F"/>
    <w:rsid w:val="00451CFC"/>
    <w:rsid w:val="00451D55"/>
    <w:rsid w:val="00455034"/>
    <w:rsid w:val="00455198"/>
    <w:rsid w:val="00473110"/>
    <w:rsid w:val="004731F1"/>
    <w:rsid w:val="0047668A"/>
    <w:rsid w:val="00481A4B"/>
    <w:rsid w:val="00481B6B"/>
    <w:rsid w:val="00483D31"/>
    <w:rsid w:val="004848EB"/>
    <w:rsid w:val="00487F96"/>
    <w:rsid w:val="00492BAF"/>
    <w:rsid w:val="00493C97"/>
    <w:rsid w:val="00495EB7"/>
    <w:rsid w:val="004A2025"/>
    <w:rsid w:val="004A41DD"/>
    <w:rsid w:val="004A795D"/>
    <w:rsid w:val="004A7E3F"/>
    <w:rsid w:val="004B5C53"/>
    <w:rsid w:val="004B642C"/>
    <w:rsid w:val="004C3877"/>
    <w:rsid w:val="004C4058"/>
    <w:rsid w:val="004C4740"/>
    <w:rsid w:val="004D1431"/>
    <w:rsid w:val="004D2FBB"/>
    <w:rsid w:val="004D3CEF"/>
    <w:rsid w:val="004D4A8D"/>
    <w:rsid w:val="004D6056"/>
    <w:rsid w:val="004D6B54"/>
    <w:rsid w:val="004D6F48"/>
    <w:rsid w:val="004E130D"/>
    <w:rsid w:val="004E5D81"/>
    <w:rsid w:val="004E64D9"/>
    <w:rsid w:val="004F1A8C"/>
    <w:rsid w:val="004F3157"/>
    <w:rsid w:val="005003EA"/>
    <w:rsid w:val="005015CF"/>
    <w:rsid w:val="005016C2"/>
    <w:rsid w:val="00501B10"/>
    <w:rsid w:val="0050237C"/>
    <w:rsid w:val="00502DC9"/>
    <w:rsid w:val="00503883"/>
    <w:rsid w:val="00505D49"/>
    <w:rsid w:val="00506C58"/>
    <w:rsid w:val="005077CF"/>
    <w:rsid w:val="00513C3C"/>
    <w:rsid w:val="00514F52"/>
    <w:rsid w:val="0051557A"/>
    <w:rsid w:val="00517F59"/>
    <w:rsid w:val="005220B9"/>
    <w:rsid w:val="00523CC1"/>
    <w:rsid w:val="00526417"/>
    <w:rsid w:val="00527532"/>
    <w:rsid w:val="00530E10"/>
    <w:rsid w:val="0053137A"/>
    <w:rsid w:val="00531E97"/>
    <w:rsid w:val="005320B1"/>
    <w:rsid w:val="00534F1B"/>
    <w:rsid w:val="00535D3A"/>
    <w:rsid w:val="005362DF"/>
    <w:rsid w:val="005416EE"/>
    <w:rsid w:val="00542422"/>
    <w:rsid w:val="00546C2B"/>
    <w:rsid w:val="00546C78"/>
    <w:rsid w:val="00553F78"/>
    <w:rsid w:val="0055427E"/>
    <w:rsid w:val="0055472D"/>
    <w:rsid w:val="00555747"/>
    <w:rsid w:val="0055580F"/>
    <w:rsid w:val="005575B0"/>
    <w:rsid w:val="00560F55"/>
    <w:rsid w:val="00562F99"/>
    <w:rsid w:val="005652B0"/>
    <w:rsid w:val="00565E29"/>
    <w:rsid w:val="00571AEC"/>
    <w:rsid w:val="00573329"/>
    <w:rsid w:val="0057373D"/>
    <w:rsid w:val="0057378B"/>
    <w:rsid w:val="005738D7"/>
    <w:rsid w:val="00575821"/>
    <w:rsid w:val="00582E06"/>
    <w:rsid w:val="0058649C"/>
    <w:rsid w:val="0059589A"/>
    <w:rsid w:val="00596B7A"/>
    <w:rsid w:val="005A0947"/>
    <w:rsid w:val="005A721A"/>
    <w:rsid w:val="005B0363"/>
    <w:rsid w:val="005B496C"/>
    <w:rsid w:val="005B4B64"/>
    <w:rsid w:val="005B72E8"/>
    <w:rsid w:val="005C3ACF"/>
    <w:rsid w:val="005C3C90"/>
    <w:rsid w:val="005C51E5"/>
    <w:rsid w:val="005C5FBA"/>
    <w:rsid w:val="005D3905"/>
    <w:rsid w:val="005D5FAA"/>
    <w:rsid w:val="005E239F"/>
    <w:rsid w:val="005E3B3D"/>
    <w:rsid w:val="005E4982"/>
    <w:rsid w:val="005E49F6"/>
    <w:rsid w:val="005E6DE7"/>
    <w:rsid w:val="005F1CDE"/>
    <w:rsid w:val="005F485E"/>
    <w:rsid w:val="005F5B58"/>
    <w:rsid w:val="005F76BD"/>
    <w:rsid w:val="006014D4"/>
    <w:rsid w:val="006033ED"/>
    <w:rsid w:val="00603E52"/>
    <w:rsid w:val="00604799"/>
    <w:rsid w:val="00607EB6"/>
    <w:rsid w:val="00610C48"/>
    <w:rsid w:val="00611027"/>
    <w:rsid w:val="0061138A"/>
    <w:rsid w:val="0061784B"/>
    <w:rsid w:val="006218AF"/>
    <w:rsid w:val="00622CD4"/>
    <w:rsid w:val="00626B52"/>
    <w:rsid w:val="00626E42"/>
    <w:rsid w:val="0063061B"/>
    <w:rsid w:val="00630BED"/>
    <w:rsid w:val="00630E9F"/>
    <w:rsid w:val="00634D1C"/>
    <w:rsid w:val="00636FDC"/>
    <w:rsid w:val="00642920"/>
    <w:rsid w:val="0064361A"/>
    <w:rsid w:val="00643677"/>
    <w:rsid w:val="00645979"/>
    <w:rsid w:val="0064629F"/>
    <w:rsid w:val="00646571"/>
    <w:rsid w:val="00647424"/>
    <w:rsid w:val="0065105E"/>
    <w:rsid w:val="00651A3C"/>
    <w:rsid w:val="0065545E"/>
    <w:rsid w:val="00660A48"/>
    <w:rsid w:val="0066131A"/>
    <w:rsid w:val="006617A2"/>
    <w:rsid w:val="006636D4"/>
    <w:rsid w:val="00665F9F"/>
    <w:rsid w:val="006660D9"/>
    <w:rsid w:val="00666141"/>
    <w:rsid w:val="00667009"/>
    <w:rsid w:val="00667F20"/>
    <w:rsid w:val="00670E43"/>
    <w:rsid w:val="00670E4C"/>
    <w:rsid w:val="0067533A"/>
    <w:rsid w:val="0068005F"/>
    <w:rsid w:val="00685D05"/>
    <w:rsid w:val="00686FBD"/>
    <w:rsid w:val="0068705A"/>
    <w:rsid w:val="00690265"/>
    <w:rsid w:val="00690FFB"/>
    <w:rsid w:val="006942A3"/>
    <w:rsid w:val="006960DF"/>
    <w:rsid w:val="00696A04"/>
    <w:rsid w:val="00696BB1"/>
    <w:rsid w:val="006978B0"/>
    <w:rsid w:val="00697975"/>
    <w:rsid w:val="006A4F46"/>
    <w:rsid w:val="006A68C5"/>
    <w:rsid w:val="006B52AC"/>
    <w:rsid w:val="006C2786"/>
    <w:rsid w:val="006C4065"/>
    <w:rsid w:val="006C417A"/>
    <w:rsid w:val="006C4DC3"/>
    <w:rsid w:val="006C5950"/>
    <w:rsid w:val="006D0B72"/>
    <w:rsid w:val="006D30D5"/>
    <w:rsid w:val="006D7CE1"/>
    <w:rsid w:val="006E0A53"/>
    <w:rsid w:val="006E1A20"/>
    <w:rsid w:val="006E363B"/>
    <w:rsid w:val="006F3ACC"/>
    <w:rsid w:val="006F4102"/>
    <w:rsid w:val="006F42BA"/>
    <w:rsid w:val="006F4E09"/>
    <w:rsid w:val="006F55C2"/>
    <w:rsid w:val="006F614B"/>
    <w:rsid w:val="00700087"/>
    <w:rsid w:val="00703137"/>
    <w:rsid w:val="007053B2"/>
    <w:rsid w:val="00707E73"/>
    <w:rsid w:val="007142F5"/>
    <w:rsid w:val="0071615F"/>
    <w:rsid w:val="00716CB1"/>
    <w:rsid w:val="0071752C"/>
    <w:rsid w:val="007249FE"/>
    <w:rsid w:val="00725012"/>
    <w:rsid w:val="00725846"/>
    <w:rsid w:val="00726221"/>
    <w:rsid w:val="007263CB"/>
    <w:rsid w:val="0072660D"/>
    <w:rsid w:val="0072777B"/>
    <w:rsid w:val="00732B0E"/>
    <w:rsid w:val="007340CE"/>
    <w:rsid w:val="00736A93"/>
    <w:rsid w:val="007374D9"/>
    <w:rsid w:val="0074274A"/>
    <w:rsid w:val="00745839"/>
    <w:rsid w:val="00751867"/>
    <w:rsid w:val="007522FC"/>
    <w:rsid w:val="007534D9"/>
    <w:rsid w:val="007542AC"/>
    <w:rsid w:val="0075609E"/>
    <w:rsid w:val="00757BE2"/>
    <w:rsid w:val="007638BC"/>
    <w:rsid w:val="0076763D"/>
    <w:rsid w:val="00772EB2"/>
    <w:rsid w:val="00773919"/>
    <w:rsid w:val="007750F5"/>
    <w:rsid w:val="00775EDA"/>
    <w:rsid w:val="00777D44"/>
    <w:rsid w:val="0078199A"/>
    <w:rsid w:val="007826B5"/>
    <w:rsid w:val="007859BF"/>
    <w:rsid w:val="00785D6C"/>
    <w:rsid w:val="0078748B"/>
    <w:rsid w:val="00787A0A"/>
    <w:rsid w:val="007904D9"/>
    <w:rsid w:val="00792B30"/>
    <w:rsid w:val="00795431"/>
    <w:rsid w:val="007963D4"/>
    <w:rsid w:val="00796E9D"/>
    <w:rsid w:val="00797D74"/>
    <w:rsid w:val="00797FB1"/>
    <w:rsid w:val="007A0997"/>
    <w:rsid w:val="007A11B5"/>
    <w:rsid w:val="007A1579"/>
    <w:rsid w:val="007A20B6"/>
    <w:rsid w:val="007A3756"/>
    <w:rsid w:val="007A4373"/>
    <w:rsid w:val="007A51BE"/>
    <w:rsid w:val="007A763C"/>
    <w:rsid w:val="007A7CA0"/>
    <w:rsid w:val="007B2766"/>
    <w:rsid w:val="007B31FE"/>
    <w:rsid w:val="007B381F"/>
    <w:rsid w:val="007B4E5E"/>
    <w:rsid w:val="007C03D3"/>
    <w:rsid w:val="007C0A94"/>
    <w:rsid w:val="007D1727"/>
    <w:rsid w:val="007D1C8E"/>
    <w:rsid w:val="007D1D25"/>
    <w:rsid w:val="007D25B6"/>
    <w:rsid w:val="007D68BC"/>
    <w:rsid w:val="007E0AF7"/>
    <w:rsid w:val="007E3582"/>
    <w:rsid w:val="007E4DC7"/>
    <w:rsid w:val="007E5800"/>
    <w:rsid w:val="007E752D"/>
    <w:rsid w:val="007E7651"/>
    <w:rsid w:val="007F1F96"/>
    <w:rsid w:val="007F4ABE"/>
    <w:rsid w:val="007F6972"/>
    <w:rsid w:val="0080386D"/>
    <w:rsid w:val="00804F92"/>
    <w:rsid w:val="00806E15"/>
    <w:rsid w:val="008103E0"/>
    <w:rsid w:val="00810BE6"/>
    <w:rsid w:val="00810F6C"/>
    <w:rsid w:val="00814B69"/>
    <w:rsid w:val="008153E8"/>
    <w:rsid w:val="0081615F"/>
    <w:rsid w:val="00820D6F"/>
    <w:rsid w:val="00821708"/>
    <w:rsid w:val="008279BA"/>
    <w:rsid w:val="00830026"/>
    <w:rsid w:val="008316EB"/>
    <w:rsid w:val="008328F7"/>
    <w:rsid w:val="00836330"/>
    <w:rsid w:val="0083638E"/>
    <w:rsid w:val="00842200"/>
    <w:rsid w:val="00843C7A"/>
    <w:rsid w:val="00846B33"/>
    <w:rsid w:val="00847646"/>
    <w:rsid w:val="00850858"/>
    <w:rsid w:val="008535CC"/>
    <w:rsid w:val="0085563E"/>
    <w:rsid w:val="00855A99"/>
    <w:rsid w:val="00855F58"/>
    <w:rsid w:val="0085727E"/>
    <w:rsid w:val="00861E4A"/>
    <w:rsid w:val="00863E87"/>
    <w:rsid w:val="00864739"/>
    <w:rsid w:val="00864B3B"/>
    <w:rsid w:val="00864B6F"/>
    <w:rsid w:val="00865C6C"/>
    <w:rsid w:val="00866045"/>
    <w:rsid w:val="0086674F"/>
    <w:rsid w:val="00870D45"/>
    <w:rsid w:val="00871AD1"/>
    <w:rsid w:val="008757B6"/>
    <w:rsid w:val="00881CD2"/>
    <w:rsid w:val="00886ABC"/>
    <w:rsid w:val="008871BB"/>
    <w:rsid w:val="00887292"/>
    <w:rsid w:val="00890575"/>
    <w:rsid w:val="0089482D"/>
    <w:rsid w:val="00894E40"/>
    <w:rsid w:val="008953A3"/>
    <w:rsid w:val="00895BC0"/>
    <w:rsid w:val="008974BA"/>
    <w:rsid w:val="008A132C"/>
    <w:rsid w:val="008A45B2"/>
    <w:rsid w:val="008B22A3"/>
    <w:rsid w:val="008B4253"/>
    <w:rsid w:val="008B4B83"/>
    <w:rsid w:val="008B729D"/>
    <w:rsid w:val="008B79CC"/>
    <w:rsid w:val="008C0418"/>
    <w:rsid w:val="008C1093"/>
    <w:rsid w:val="008C2232"/>
    <w:rsid w:val="008C3294"/>
    <w:rsid w:val="008C4D61"/>
    <w:rsid w:val="008C61C5"/>
    <w:rsid w:val="008D1C53"/>
    <w:rsid w:val="008D224E"/>
    <w:rsid w:val="008D2D52"/>
    <w:rsid w:val="008D6425"/>
    <w:rsid w:val="008D66DD"/>
    <w:rsid w:val="008D6925"/>
    <w:rsid w:val="008D6D4C"/>
    <w:rsid w:val="008E1C7B"/>
    <w:rsid w:val="008E26AA"/>
    <w:rsid w:val="008E3FA2"/>
    <w:rsid w:val="008E55A9"/>
    <w:rsid w:val="008E5CEC"/>
    <w:rsid w:val="008E71D3"/>
    <w:rsid w:val="008F02B2"/>
    <w:rsid w:val="008F184B"/>
    <w:rsid w:val="008F322A"/>
    <w:rsid w:val="008F61C1"/>
    <w:rsid w:val="00900F35"/>
    <w:rsid w:val="0090166F"/>
    <w:rsid w:val="0090517E"/>
    <w:rsid w:val="00905318"/>
    <w:rsid w:val="0090581F"/>
    <w:rsid w:val="00905972"/>
    <w:rsid w:val="009065D7"/>
    <w:rsid w:val="00910D71"/>
    <w:rsid w:val="009113E9"/>
    <w:rsid w:val="00912B8B"/>
    <w:rsid w:val="00914B46"/>
    <w:rsid w:val="00915E99"/>
    <w:rsid w:val="0092026C"/>
    <w:rsid w:val="00920D15"/>
    <w:rsid w:val="00921347"/>
    <w:rsid w:val="0092143B"/>
    <w:rsid w:val="00921721"/>
    <w:rsid w:val="00922483"/>
    <w:rsid w:val="0092588B"/>
    <w:rsid w:val="0092633A"/>
    <w:rsid w:val="00927008"/>
    <w:rsid w:val="0092723A"/>
    <w:rsid w:val="00927F26"/>
    <w:rsid w:val="00931786"/>
    <w:rsid w:val="00931A56"/>
    <w:rsid w:val="00932F82"/>
    <w:rsid w:val="00933D47"/>
    <w:rsid w:val="00935AD5"/>
    <w:rsid w:val="0094285D"/>
    <w:rsid w:val="00945AE0"/>
    <w:rsid w:val="009503C2"/>
    <w:rsid w:val="00950B18"/>
    <w:rsid w:val="00951992"/>
    <w:rsid w:val="00952C0E"/>
    <w:rsid w:val="00960CF1"/>
    <w:rsid w:val="00962ECD"/>
    <w:rsid w:val="00962EE3"/>
    <w:rsid w:val="009647EC"/>
    <w:rsid w:val="009664DB"/>
    <w:rsid w:val="00973203"/>
    <w:rsid w:val="00974518"/>
    <w:rsid w:val="00974943"/>
    <w:rsid w:val="00975EB1"/>
    <w:rsid w:val="009775A4"/>
    <w:rsid w:val="00981CC3"/>
    <w:rsid w:val="00981D62"/>
    <w:rsid w:val="009820E6"/>
    <w:rsid w:val="009859DD"/>
    <w:rsid w:val="009929C4"/>
    <w:rsid w:val="00994E5E"/>
    <w:rsid w:val="00996EAA"/>
    <w:rsid w:val="009A0CBB"/>
    <w:rsid w:val="009B0893"/>
    <w:rsid w:val="009B1732"/>
    <w:rsid w:val="009B1D42"/>
    <w:rsid w:val="009B6340"/>
    <w:rsid w:val="009C4FA7"/>
    <w:rsid w:val="009C656B"/>
    <w:rsid w:val="009C796E"/>
    <w:rsid w:val="009D05E8"/>
    <w:rsid w:val="009D1C69"/>
    <w:rsid w:val="009D6B23"/>
    <w:rsid w:val="009E0A9E"/>
    <w:rsid w:val="009E2180"/>
    <w:rsid w:val="009E5F25"/>
    <w:rsid w:val="009E64CA"/>
    <w:rsid w:val="009F1EB0"/>
    <w:rsid w:val="009F4956"/>
    <w:rsid w:val="009F5520"/>
    <w:rsid w:val="009F567B"/>
    <w:rsid w:val="009F5E0B"/>
    <w:rsid w:val="00A00251"/>
    <w:rsid w:val="00A02CDB"/>
    <w:rsid w:val="00A049AF"/>
    <w:rsid w:val="00A0551E"/>
    <w:rsid w:val="00A05633"/>
    <w:rsid w:val="00A05D5C"/>
    <w:rsid w:val="00A07369"/>
    <w:rsid w:val="00A106B7"/>
    <w:rsid w:val="00A1133F"/>
    <w:rsid w:val="00A16C21"/>
    <w:rsid w:val="00A2560D"/>
    <w:rsid w:val="00A300AC"/>
    <w:rsid w:val="00A30D26"/>
    <w:rsid w:val="00A316F2"/>
    <w:rsid w:val="00A324F5"/>
    <w:rsid w:val="00A32CC6"/>
    <w:rsid w:val="00A33DE3"/>
    <w:rsid w:val="00A353F4"/>
    <w:rsid w:val="00A36751"/>
    <w:rsid w:val="00A36890"/>
    <w:rsid w:val="00A4055A"/>
    <w:rsid w:val="00A42EC9"/>
    <w:rsid w:val="00A44F68"/>
    <w:rsid w:val="00A47B55"/>
    <w:rsid w:val="00A52728"/>
    <w:rsid w:val="00A52E67"/>
    <w:rsid w:val="00A53667"/>
    <w:rsid w:val="00A54ABC"/>
    <w:rsid w:val="00A55C13"/>
    <w:rsid w:val="00A56BF4"/>
    <w:rsid w:val="00A574DC"/>
    <w:rsid w:val="00A57777"/>
    <w:rsid w:val="00A57A26"/>
    <w:rsid w:val="00A62932"/>
    <w:rsid w:val="00A62F60"/>
    <w:rsid w:val="00A64723"/>
    <w:rsid w:val="00A64E17"/>
    <w:rsid w:val="00A650A0"/>
    <w:rsid w:val="00A65BAF"/>
    <w:rsid w:val="00A6780F"/>
    <w:rsid w:val="00A70240"/>
    <w:rsid w:val="00A710B4"/>
    <w:rsid w:val="00A7349B"/>
    <w:rsid w:val="00A74275"/>
    <w:rsid w:val="00A82C4F"/>
    <w:rsid w:val="00A83138"/>
    <w:rsid w:val="00A85425"/>
    <w:rsid w:val="00A8563D"/>
    <w:rsid w:val="00A907B9"/>
    <w:rsid w:val="00A92F68"/>
    <w:rsid w:val="00A9560D"/>
    <w:rsid w:val="00A96CF4"/>
    <w:rsid w:val="00AA0A5C"/>
    <w:rsid w:val="00AA4EB2"/>
    <w:rsid w:val="00AA6958"/>
    <w:rsid w:val="00AA6FA1"/>
    <w:rsid w:val="00AB1ACE"/>
    <w:rsid w:val="00AB37F5"/>
    <w:rsid w:val="00AC0810"/>
    <w:rsid w:val="00AC1E7D"/>
    <w:rsid w:val="00AC2DD1"/>
    <w:rsid w:val="00AC32F2"/>
    <w:rsid w:val="00AC352B"/>
    <w:rsid w:val="00AC3EB9"/>
    <w:rsid w:val="00AC4E04"/>
    <w:rsid w:val="00AC703B"/>
    <w:rsid w:val="00AD01F6"/>
    <w:rsid w:val="00AD1E0E"/>
    <w:rsid w:val="00AD57CC"/>
    <w:rsid w:val="00AE37D4"/>
    <w:rsid w:val="00AE488F"/>
    <w:rsid w:val="00AF06FD"/>
    <w:rsid w:val="00AF2398"/>
    <w:rsid w:val="00AF3D6A"/>
    <w:rsid w:val="00AF5068"/>
    <w:rsid w:val="00AF6C76"/>
    <w:rsid w:val="00AF7241"/>
    <w:rsid w:val="00AF7400"/>
    <w:rsid w:val="00AF78A6"/>
    <w:rsid w:val="00B00646"/>
    <w:rsid w:val="00B01C54"/>
    <w:rsid w:val="00B03451"/>
    <w:rsid w:val="00B03B09"/>
    <w:rsid w:val="00B0403C"/>
    <w:rsid w:val="00B04499"/>
    <w:rsid w:val="00B06609"/>
    <w:rsid w:val="00B12EF6"/>
    <w:rsid w:val="00B13C3D"/>
    <w:rsid w:val="00B20EF3"/>
    <w:rsid w:val="00B2480A"/>
    <w:rsid w:val="00B33426"/>
    <w:rsid w:val="00B353DA"/>
    <w:rsid w:val="00B3555E"/>
    <w:rsid w:val="00B37D31"/>
    <w:rsid w:val="00B41486"/>
    <w:rsid w:val="00B421CE"/>
    <w:rsid w:val="00B467CA"/>
    <w:rsid w:val="00B47B4C"/>
    <w:rsid w:val="00B51D46"/>
    <w:rsid w:val="00B52C86"/>
    <w:rsid w:val="00B61674"/>
    <w:rsid w:val="00B63215"/>
    <w:rsid w:val="00B64E1F"/>
    <w:rsid w:val="00B65B66"/>
    <w:rsid w:val="00B67D44"/>
    <w:rsid w:val="00B70350"/>
    <w:rsid w:val="00B7043D"/>
    <w:rsid w:val="00B74FE2"/>
    <w:rsid w:val="00B75F03"/>
    <w:rsid w:val="00B769C0"/>
    <w:rsid w:val="00B77AA2"/>
    <w:rsid w:val="00B83588"/>
    <w:rsid w:val="00B83829"/>
    <w:rsid w:val="00B86125"/>
    <w:rsid w:val="00B9582E"/>
    <w:rsid w:val="00B95A5E"/>
    <w:rsid w:val="00BA24ED"/>
    <w:rsid w:val="00BA2FCC"/>
    <w:rsid w:val="00BA3276"/>
    <w:rsid w:val="00BA410E"/>
    <w:rsid w:val="00BA57FE"/>
    <w:rsid w:val="00BB120A"/>
    <w:rsid w:val="00BB2686"/>
    <w:rsid w:val="00BB348D"/>
    <w:rsid w:val="00BB5F86"/>
    <w:rsid w:val="00BB7BC7"/>
    <w:rsid w:val="00BC13F4"/>
    <w:rsid w:val="00BC46D0"/>
    <w:rsid w:val="00BC5F3B"/>
    <w:rsid w:val="00BC719A"/>
    <w:rsid w:val="00BE0550"/>
    <w:rsid w:val="00BE4D35"/>
    <w:rsid w:val="00BF12C2"/>
    <w:rsid w:val="00BF2104"/>
    <w:rsid w:val="00BF3370"/>
    <w:rsid w:val="00BF33F3"/>
    <w:rsid w:val="00BF7142"/>
    <w:rsid w:val="00C048E9"/>
    <w:rsid w:val="00C04EEE"/>
    <w:rsid w:val="00C06429"/>
    <w:rsid w:val="00C0794D"/>
    <w:rsid w:val="00C11BCE"/>
    <w:rsid w:val="00C13366"/>
    <w:rsid w:val="00C17276"/>
    <w:rsid w:val="00C17DE0"/>
    <w:rsid w:val="00C21A95"/>
    <w:rsid w:val="00C22A30"/>
    <w:rsid w:val="00C22F0A"/>
    <w:rsid w:val="00C23110"/>
    <w:rsid w:val="00C27597"/>
    <w:rsid w:val="00C30AC5"/>
    <w:rsid w:val="00C32820"/>
    <w:rsid w:val="00C342FC"/>
    <w:rsid w:val="00C34921"/>
    <w:rsid w:val="00C37873"/>
    <w:rsid w:val="00C41560"/>
    <w:rsid w:val="00C43F20"/>
    <w:rsid w:val="00C45239"/>
    <w:rsid w:val="00C45A97"/>
    <w:rsid w:val="00C45BB7"/>
    <w:rsid w:val="00C53F5F"/>
    <w:rsid w:val="00C56B3C"/>
    <w:rsid w:val="00C62AD5"/>
    <w:rsid w:val="00C6403F"/>
    <w:rsid w:val="00C72BE2"/>
    <w:rsid w:val="00C738BD"/>
    <w:rsid w:val="00C74349"/>
    <w:rsid w:val="00C81D4A"/>
    <w:rsid w:val="00C82888"/>
    <w:rsid w:val="00C83EFC"/>
    <w:rsid w:val="00C87A17"/>
    <w:rsid w:val="00C9075C"/>
    <w:rsid w:val="00C90EB1"/>
    <w:rsid w:val="00C93D18"/>
    <w:rsid w:val="00C97CF7"/>
    <w:rsid w:val="00CA023B"/>
    <w:rsid w:val="00CA08F5"/>
    <w:rsid w:val="00CA3EFD"/>
    <w:rsid w:val="00CB5674"/>
    <w:rsid w:val="00CB7334"/>
    <w:rsid w:val="00CC0C02"/>
    <w:rsid w:val="00CC23E0"/>
    <w:rsid w:val="00CC2D84"/>
    <w:rsid w:val="00CC4690"/>
    <w:rsid w:val="00CD1D6C"/>
    <w:rsid w:val="00CD225E"/>
    <w:rsid w:val="00CD2365"/>
    <w:rsid w:val="00CD3871"/>
    <w:rsid w:val="00CE0544"/>
    <w:rsid w:val="00CE78C9"/>
    <w:rsid w:val="00CF1645"/>
    <w:rsid w:val="00CF46BF"/>
    <w:rsid w:val="00CF7E8D"/>
    <w:rsid w:val="00D00602"/>
    <w:rsid w:val="00D014E6"/>
    <w:rsid w:val="00D01664"/>
    <w:rsid w:val="00D025AB"/>
    <w:rsid w:val="00D0522E"/>
    <w:rsid w:val="00D14725"/>
    <w:rsid w:val="00D1566C"/>
    <w:rsid w:val="00D16301"/>
    <w:rsid w:val="00D174D5"/>
    <w:rsid w:val="00D222F2"/>
    <w:rsid w:val="00D22CCD"/>
    <w:rsid w:val="00D24302"/>
    <w:rsid w:val="00D24363"/>
    <w:rsid w:val="00D2509F"/>
    <w:rsid w:val="00D305F8"/>
    <w:rsid w:val="00D32307"/>
    <w:rsid w:val="00D33F28"/>
    <w:rsid w:val="00D37315"/>
    <w:rsid w:val="00D473BC"/>
    <w:rsid w:val="00D52DFA"/>
    <w:rsid w:val="00D54FAF"/>
    <w:rsid w:val="00D5661F"/>
    <w:rsid w:val="00D5736A"/>
    <w:rsid w:val="00D57D87"/>
    <w:rsid w:val="00D63E86"/>
    <w:rsid w:val="00D716FD"/>
    <w:rsid w:val="00D74AB8"/>
    <w:rsid w:val="00D764E4"/>
    <w:rsid w:val="00D76C2B"/>
    <w:rsid w:val="00D80212"/>
    <w:rsid w:val="00D80BF2"/>
    <w:rsid w:val="00D81516"/>
    <w:rsid w:val="00D815C1"/>
    <w:rsid w:val="00D82788"/>
    <w:rsid w:val="00D84D2D"/>
    <w:rsid w:val="00D91FA7"/>
    <w:rsid w:val="00D96171"/>
    <w:rsid w:val="00DA30D7"/>
    <w:rsid w:val="00DA3307"/>
    <w:rsid w:val="00DA6496"/>
    <w:rsid w:val="00DB2456"/>
    <w:rsid w:val="00DB3FF9"/>
    <w:rsid w:val="00DB4A22"/>
    <w:rsid w:val="00DB519A"/>
    <w:rsid w:val="00DB79E7"/>
    <w:rsid w:val="00DC2E77"/>
    <w:rsid w:val="00DC4D0A"/>
    <w:rsid w:val="00DD33BD"/>
    <w:rsid w:val="00DD71F6"/>
    <w:rsid w:val="00DE28A1"/>
    <w:rsid w:val="00DE4659"/>
    <w:rsid w:val="00DE6222"/>
    <w:rsid w:val="00DE6528"/>
    <w:rsid w:val="00DE79A5"/>
    <w:rsid w:val="00DE7CB3"/>
    <w:rsid w:val="00DF446F"/>
    <w:rsid w:val="00DF64E2"/>
    <w:rsid w:val="00DF6EB4"/>
    <w:rsid w:val="00E01BAB"/>
    <w:rsid w:val="00E032AA"/>
    <w:rsid w:val="00E038C1"/>
    <w:rsid w:val="00E0394C"/>
    <w:rsid w:val="00E1131B"/>
    <w:rsid w:val="00E11F0F"/>
    <w:rsid w:val="00E13E7A"/>
    <w:rsid w:val="00E1414A"/>
    <w:rsid w:val="00E14D46"/>
    <w:rsid w:val="00E15C03"/>
    <w:rsid w:val="00E161EF"/>
    <w:rsid w:val="00E17551"/>
    <w:rsid w:val="00E250E0"/>
    <w:rsid w:val="00E337FC"/>
    <w:rsid w:val="00E34431"/>
    <w:rsid w:val="00E34F80"/>
    <w:rsid w:val="00E400E2"/>
    <w:rsid w:val="00E4162A"/>
    <w:rsid w:val="00E46827"/>
    <w:rsid w:val="00E475FB"/>
    <w:rsid w:val="00E50B58"/>
    <w:rsid w:val="00E57723"/>
    <w:rsid w:val="00E6264E"/>
    <w:rsid w:val="00E63529"/>
    <w:rsid w:val="00E64454"/>
    <w:rsid w:val="00E66967"/>
    <w:rsid w:val="00E721E7"/>
    <w:rsid w:val="00E72378"/>
    <w:rsid w:val="00E80419"/>
    <w:rsid w:val="00E83A57"/>
    <w:rsid w:val="00E85696"/>
    <w:rsid w:val="00E857D3"/>
    <w:rsid w:val="00E87127"/>
    <w:rsid w:val="00E872A8"/>
    <w:rsid w:val="00E92ABE"/>
    <w:rsid w:val="00E94D0B"/>
    <w:rsid w:val="00E9631C"/>
    <w:rsid w:val="00E97C5A"/>
    <w:rsid w:val="00EA1F98"/>
    <w:rsid w:val="00EA73CC"/>
    <w:rsid w:val="00EA76FC"/>
    <w:rsid w:val="00EB05B8"/>
    <w:rsid w:val="00EB3337"/>
    <w:rsid w:val="00EB79B2"/>
    <w:rsid w:val="00EC02EC"/>
    <w:rsid w:val="00EC247A"/>
    <w:rsid w:val="00EC3316"/>
    <w:rsid w:val="00EC4533"/>
    <w:rsid w:val="00EC5304"/>
    <w:rsid w:val="00EC6798"/>
    <w:rsid w:val="00EC6D8F"/>
    <w:rsid w:val="00ED3E0F"/>
    <w:rsid w:val="00ED4C0A"/>
    <w:rsid w:val="00ED4C36"/>
    <w:rsid w:val="00EE0145"/>
    <w:rsid w:val="00EE293A"/>
    <w:rsid w:val="00EE32AA"/>
    <w:rsid w:val="00EE32CB"/>
    <w:rsid w:val="00EE4091"/>
    <w:rsid w:val="00EE5AA7"/>
    <w:rsid w:val="00EE6F82"/>
    <w:rsid w:val="00EF4772"/>
    <w:rsid w:val="00EF546A"/>
    <w:rsid w:val="00EF77E4"/>
    <w:rsid w:val="00F00350"/>
    <w:rsid w:val="00F02B73"/>
    <w:rsid w:val="00F03E23"/>
    <w:rsid w:val="00F07061"/>
    <w:rsid w:val="00F071A7"/>
    <w:rsid w:val="00F07CE4"/>
    <w:rsid w:val="00F20192"/>
    <w:rsid w:val="00F24AB5"/>
    <w:rsid w:val="00F26BB4"/>
    <w:rsid w:val="00F27EA3"/>
    <w:rsid w:val="00F30974"/>
    <w:rsid w:val="00F33589"/>
    <w:rsid w:val="00F34795"/>
    <w:rsid w:val="00F35789"/>
    <w:rsid w:val="00F462DB"/>
    <w:rsid w:val="00F47273"/>
    <w:rsid w:val="00F526B3"/>
    <w:rsid w:val="00F52FE6"/>
    <w:rsid w:val="00F543AA"/>
    <w:rsid w:val="00F54CCE"/>
    <w:rsid w:val="00F54FA8"/>
    <w:rsid w:val="00F5567A"/>
    <w:rsid w:val="00F569D7"/>
    <w:rsid w:val="00F57402"/>
    <w:rsid w:val="00F6378E"/>
    <w:rsid w:val="00F6590F"/>
    <w:rsid w:val="00F660DA"/>
    <w:rsid w:val="00F7589F"/>
    <w:rsid w:val="00F76A91"/>
    <w:rsid w:val="00F77DA4"/>
    <w:rsid w:val="00F800D4"/>
    <w:rsid w:val="00F821CA"/>
    <w:rsid w:val="00F84160"/>
    <w:rsid w:val="00F8544B"/>
    <w:rsid w:val="00F86228"/>
    <w:rsid w:val="00F86D2D"/>
    <w:rsid w:val="00F917FC"/>
    <w:rsid w:val="00F97984"/>
    <w:rsid w:val="00FA0A04"/>
    <w:rsid w:val="00FA486C"/>
    <w:rsid w:val="00FA4A69"/>
    <w:rsid w:val="00FA4EA2"/>
    <w:rsid w:val="00FA57CB"/>
    <w:rsid w:val="00FA660E"/>
    <w:rsid w:val="00FB00BD"/>
    <w:rsid w:val="00FB01A9"/>
    <w:rsid w:val="00FB0D01"/>
    <w:rsid w:val="00FB2BF7"/>
    <w:rsid w:val="00FB3A81"/>
    <w:rsid w:val="00FB3E1C"/>
    <w:rsid w:val="00FB50D4"/>
    <w:rsid w:val="00FB742B"/>
    <w:rsid w:val="00FC0F58"/>
    <w:rsid w:val="00FC33FE"/>
    <w:rsid w:val="00FC3FF9"/>
    <w:rsid w:val="00FC53D0"/>
    <w:rsid w:val="00FD1697"/>
    <w:rsid w:val="00FD709E"/>
    <w:rsid w:val="00FE035D"/>
    <w:rsid w:val="00FE0897"/>
    <w:rsid w:val="00FE2918"/>
    <w:rsid w:val="00FF01F2"/>
    <w:rsid w:val="00FF27C1"/>
    <w:rsid w:val="00FF2DA9"/>
    <w:rsid w:val="00FF6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 style="mso-width-relative:margin;mso-height-relative:margin" fillcolor="white" stroke="f" strokecolor="none [3204]">
      <v:fill color="white"/>
      <v:stroke dashstyle="3 1" color="none [3204]" on="f"/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F8D"/>
  </w:style>
  <w:style w:type="paragraph" w:styleId="Nagwek3">
    <w:name w:val="heading 3"/>
    <w:basedOn w:val="Normalny"/>
    <w:next w:val="Normalny"/>
    <w:link w:val="Nagwek3Znak"/>
    <w:qFormat/>
    <w:rsid w:val="00B77AA2"/>
    <w:pPr>
      <w:keepNext/>
      <w:spacing w:after="0" w:line="36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550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1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0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E4C"/>
  </w:style>
  <w:style w:type="paragraph" w:styleId="Stopka">
    <w:name w:val="footer"/>
    <w:basedOn w:val="Normalny"/>
    <w:link w:val="StopkaZnak"/>
    <w:uiPriority w:val="99"/>
    <w:unhideWhenUsed/>
    <w:rsid w:val="00670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E4C"/>
  </w:style>
  <w:style w:type="character" w:customStyle="1" w:styleId="Nagwek3Znak">
    <w:name w:val="Nagłówek 3 Znak"/>
    <w:basedOn w:val="Domylnaczcionkaakapitu"/>
    <w:link w:val="Nagwek3"/>
    <w:rsid w:val="00B77AA2"/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styleId="Hipercze">
    <w:name w:val="Hyperlink"/>
    <w:rsid w:val="00B77AA2"/>
    <w:rPr>
      <w:color w:val="0000FF"/>
      <w:sz w:val="20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4550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kstpodstawowywcity21">
    <w:name w:val="Tekst podstawowy wcięty 21"/>
    <w:basedOn w:val="Normalny"/>
    <w:rsid w:val="00455034"/>
    <w:pPr>
      <w:spacing w:after="0" w:line="240" w:lineRule="auto"/>
      <w:ind w:left="227" w:hanging="227"/>
    </w:pPr>
    <w:rPr>
      <w:rFonts w:ascii="Times New Roman" w:eastAsia="Times New Roman" w:hAnsi="Times New Roman" w:cs="Times New Roman"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B77AA2"/>
    <w:pPr>
      <w:keepNext/>
      <w:spacing w:after="0" w:line="36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1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0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E4C"/>
  </w:style>
  <w:style w:type="paragraph" w:styleId="Stopka">
    <w:name w:val="footer"/>
    <w:basedOn w:val="Normalny"/>
    <w:link w:val="StopkaZnak"/>
    <w:uiPriority w:val="99"/>
    <w:unhideWhenUsed/>
    <w:rsid w:val="00670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E4C"/>
  </w:style>
  <w:style w:type="character" w:customStyle="1" w:styleId="Nagwek3Znak">
    <w:name w:val="Nagłówek 3 Znak"/>
    <w:basedOn w:val="Domylnaczcionkaakapitu"/>
    <w:link w:val="Nagwek3"/>
    <w:rsid w:val="00B77AA2"/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styleId="Hipercze">
    <w:name w:val="Hyperlink"/>
    <w:rsid w:val="00B77AA2"/>
    <w:rPr>
      <w:color w:val="0000FF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stat.gov.pl/obszary-tematyczne/przemysl-budownictwo-srodki-trwale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zecznik@sta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B04B4-66AC-4287-9688-A5E57C65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91</Words>
  <Characters>547</Characters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Budownictwo mieszkaniowe w okresie styczeń-październik 2017</dc:title>
  <cp:lastPrinted>2017-11-16T10:30:00Z</cp:lastPrinted>
  <dcterms:created xsi:type="dcterms:W3CDTF">2017-10-23T06:07:00Z</dcterms:created>
  <dcterms:modified xsi:type="dcterms:W3CDTF">2017-11-16T10:50:00Z</dcterms:modified>
</cp:coreProperties>
</file>