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7DE9" w14:textId="77DEC00F" w:rsidR="0098135C" w:rsidRPr="00B55F47" w:rsidRDefault="00557D75" w:rsidP="00074DD8">
      <w:pPr>
        <w:pStyle w:val="tytuinformacji"/>
        <w:rPr>
          <w:szCs w:val="40"/>
          <w:shd w:val="clear" w:color="auto" w:fill="FFFFFF"/>
        </w:rPr>
      </w:pPr>
      <w:r>
        <w:rPr>
          <w:color w:val="auto"/>
          <w:szCs w:val="40"/>
        </w:rPr>
        <w:t>Budownictwo mieszkaniowe</w:t>
      </w:r>
      <w:r w:rsidR="006F5529" w:rsidRPr="00B678B9">
        <w:rPr>
          <w:rStyle w:val="Odwoanieprzypisudolnego"/>
        </w:rPr>
        <w:footnoteReference w:id="1"/>
      </w:r>
      <w:r w:rsidR="007B0E35" w:rsidRPr="00DA0F32">
        <w:rPr>
          <w:color w:val="auto"/>
          <w:szCs w:val="40"/>
        </w:rPr>
        <w:t xml:space="preserve"> </w:t>
      </w:r>
      <w:r w:rsidR="004466B1" w:rsidRPr="00DA0F32">
        <w:rPr>
          <w:color w:val="auto"/>
          <w:szCs w:val="40"/>
          <w:shd w:val="clear" w:color="auto" w:fill="FFFFFF"/>
        </w:rPr>
        <w:t xml:space="preserve">w </w:t>
      </w:r>
      <w:r w:rsidR="003F1512">
        <w:rPr>
          <w:color w:val="auto"/>
          <w:szCs w:val="40"/>
          <w:shd w:val="clear" w:color="auto" w:fill="FFFFFF"/>
        </w:rPr>
        <w:t>styczniu</w:t>
      </w:r>
      <w:r w:rsidR="00DE5D2E">
        <w:rPr>
          <w:color w:val="auto"/>
          <w:szCs w:val="40"/>
          <w:shd w:val="clear" w:color="auto" w:fill="FFFFFF"/>
        </w:rPr>
        <w:t xml:space="preserve"> 2020</w:t>
      </w:r>
      <w:r w:rsidR="00816DE1">
        <w:rPr>
          <w:color w:val="auto"/>
          <w:szCs w:val="40"/>
          <w:shd w:val="clear" w:color="auto" w:fill="FFFFFF"/>
        </w:rPr>
        <w:t xml:space="preserve"> roku</w:t>
      </w:r>
    </w:p>
    <w:p w14:paraId="0B2A05A0" w14:textId="77777777"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58E3FE" wp14:editId="432F6FE0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CB39" w14:textId="77777777"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E3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14:paraId="5E77CB39" w14:textId="77777777"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268485" w14:textId="79A82002" w:rsidR="004466B1" w:rsidRDefault="0033611E" w:rsidP="00F113BA">
      <w:pPr>
        <w:pStyle w:val="LID"/>
      </w:pPr>
      <w:r w:rsidRPr="00DA0F32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A99811D" wp14:editId="6A008B20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958340" cy="1045845"/>
                <wp:effectExtent l="0" t="0" r="381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9C46" w14:textId="6864C2CD" w:rsidR="004862B6" w:rsidRPr="00AB788D" w:rsidRDefault="004862B6" w:rsidP="004466B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3582ED6" wp14:editId="690980D6">
                                  <wp:extent cx="420897" cy="384838"/>
                                  <wp:effectExtent l="19050" t="19050" r="0" b="0"/>
                                  <wp:docPr id="4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20897" cy="38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200000" rev="21594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6ED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100,5</w:t>
                            </w:r>
                          </w:p>
                          <w:p w14:paraId="7EBB0A62" w14:textId="47BB8A57" w:rsidR="004862B6" w:rsidRPr="00A519B5" w:rsidRDefault="004862B6" w:rsidP="004466B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</w:t>
                            </w:r>
                            <w:r w:rsidR="00FD5C59">
                              <w:t xml:space="preserve">liczby </w:t>
                            </w:r>
                            <w:r w:rsidRPr="00A519B5">
                              <w:t>mieszkań oddanych do użytkowania</w:t>
                            </w:r>
                            <w:r w:rsidR="0033611E"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811D" id="_x0000_s1027" type="#_x0000_t202" style="position:absolute;margin-left:0;margin-top:6.55pt;width:154.2pt;height:82.3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" fillcolor="#001d77" stroked="f">
                <v:textbox>
                  <w:txbxContent>
                    <w:p w14:paraId="531F9C46" w14:textId="6864C2CD" w:rsidR="004862B6" w:rsidRPr="00AB788D" w:rsidRDefault="004862B6" w:rsidP="004466B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3582ED6" wp14:editId="690980D6">
                            <wp:extent cx="420897" cy="384838"/>
                            <wp:effectExtent l="19050" t="19050" r="0" b="0"/>
                            <wp:docPr id="41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20897" cy="38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200000" rev="21594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6ED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100,5</w:t>
                      </w:r>
                    </w:p>
                    <w:p w14:paraId="7EBB0A62" w14:textId="47BB8A57" w:rsidR="004862B6" w:rsidRPr="00A519B5" w:rsidRDefault="004862B6" w:rsidP="004466B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</w:t>
                      </w:r>
                      <w:r w:rsidR="00FD5C59">
                        <w:t xml:space="preserve">liczby </w:t>
                      </w:r>
                      <w:r w:rsidRPr="00A519B5">
                        <w:t>mieszkań oddanych do użytkowania</w:t>
                      </w:r>
                      <w:r w:rsidR="0033611E"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302D" w:rsidRPr="00DA0F32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E3ADBC" wp14:editId="465C5FA6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7403" w14:textId="77777777" w:rsidR="004862B6" w:rsidRPr="00A17F09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D88108" wp14:editId="2BDAC8DA">
                                  <wp:extent cx="335280" cy="335280"/>
                                  <wp:effectExtent l="0" t="0" r="7620" b="7620"/>
                                  <wp:docPr id="4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A17F09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 w:rsidR="004862B6" w:rsidRPr="00A17F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  <w:t>100,5</w:t>
                            </w:r>
                          </w:p>
                          <w:p w14:paraId="164074AE" w14:textId="77777777" w:rsidR="004862B6" w:rsidRPr="00F64AC1" w:rsidRDefault="004862B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ADBC" id="_x0000_s1028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BzBGdRKAIAACk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14:paraId="32057403" w14:textId="77777777" w:rsidR="004862B6" w:rsidRPr="00A17F09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D88108" wp14:editId="2BDAC8DA">
                            <wp:extent cx="335280" cy="335280"/>
                            <wp:effectExtent l="0" t="0" r="7620" b="7620"/>
                            <wp:docPr id="4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A17F09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 w:rsidR="004862B6" w:rsidRPr="00A17F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  <w:t>100,5</w:t>
                      </w:r>
                    </w:p>
                    <w:p w14:paraId="164074AE" w14:textId="77777777" w:rsidR="004862B6" w:rsidRPr="00F64AC1" w:rsidRDefault="004862B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amet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consectetur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adipiscing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elit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1A3" w:rsidRPr="00DA0F32">
        <w:t xml:space="preserve">W </w:t>
      </w:r>
      <w:r w:rsidR="003F1512">
        <w:t>styczniu 2020</w:t>
      </w:r>
      <w:r w:rsidR="004466B1" w:rsidRPr="00DA0F32">
        <w:t xml:space="preserve"> roku oddano do użytkowania </w:t>
      </w:r>
      <w:r w:rsidR="000C0137" w:rsidRPr="00DA0F32">
        <w:t>więce</w:t>
      </w:r>
      <w:r w:rsidR="00CA3423" w:rsidRPr="00DA0F32">
        <w:t>j</w:t>
      </w:r>
      <w:r w:rsidR="004466B1" w:rsidRPr="00DA0F32">
        <w:t xml:space="preserve"> mieszkań niż </w:t>
      </w:r>
      <w:r w:rsidR="00F17D27" w:rsidRPr="00DA0F32">
        <w:t>przed rokiem</w:t>
      </w:r>
      <w:r w:rsidR="004466B1" w:rsidRPr="00DA0F32">
        <w:t xml:space="preserve">. </w:t>
      </w:r>
      <w:r w:rsidR="008B0F20">
        <w:t>Wzrosła również liczba m</w:t>
      </w:r>
      <w:r w:rsidR="00585630">
        <w:t>ieszkań, których budowę rozpoczę</w:t>
      </w:r>
      <w:r w:rsidR="008B0F20">
        <w:t>to</w:t>
      </w:r>
      <w:r w:rsidR="00866ED0">
        <w:t xml:space="preserve">, natomiast spadła </w:t>
      </w:r>
      <w:r w:rsidR="00B1192F" w:rsidRPr="00DA0F32">
        <w:t>liczba mieszkań, na których budowę wydano pozwolenia</w:t>
      </w:r>
      <w:r w:rsidR="00904133" w:rsidRPr="00DA0F32">
        <w:t xml:space="preserve"> </w:t>
      </w:r>
      <w:r w:rsidR="00B1192F" w:rsidRPr="00DA0F32">
        <w:t>lub dokona</w:t>
      </w:r>
      <w:r w:rsidR="00C62034">
        <w:t>no zgłoszenia z </w:t>
      </w:r>
      <w:r w:rsidR="00B1192F" w:rsidRPr="00DA0F32">
        <w:t>projektem budowlanym</w:t>
      </w:r>
      <w:r w:rsidR="008B0F20">
        <w:t>.</w:t>
      </w:r>
      <w:r w:rsidR="00B1192F" w:rsidRPr="00DA0F32">
        <w:t xml:space="preserve"> </w:t>
      </w:r>
    </w:p>
    <w:p w14:paraId="6EB6C166" w14:textId="77777777" w:rsidR="0075636C" w:rsidRPr="009A6B72" w:rsidRDefault="0075636C" w:rsidP="0075636C">
      <w:pPr>
        <w:pStyle w:val="Nagwek1"/>
      </w:pPr>
    </w:p>
    <w:p w14:paraId="04322E55" w14:textId="77777777" w:rsidR="00007AEB" w:rsidRDefault="00007AEB" w:rsidP="00F113BA">
      <w:pPr>
        <w:rPr>
          <w:rFonts w:ascii="Fira Sans SemiBold" w:hAnsi="Fira Sans SemiBold"/>
          <w:color w:val="001D77"/>
          <w:szCs w:val="19"/>
        </w:rPr>
      </w:pPr>
    </w:p>
    <w:p w14:paraId="74265326" w14:textId="77777777" w:rsidR="00C6552F" w:rsidRPr="009A6B72" w:rsidRDefault="00231001" w:rsidP="00F113BA">
      <w:pPr>
        <w:rPr>
          <w:rFonts w:ascii="Fira Sans SemiBold" w:hAnsi="Fira Sans SemiBold"/>
          <w:color w:val="001D77"/>
          <w:szCs w:val="19"/>
        </w:rPr>
      </w:pPr>
      <w:r w:rsidRPr="009A6B72">
        <w:rPr>
          <w:rFonts w:ascii="Fira Sans SemiBold" w:eastAsia="Times New Roman" w:hAnsi="Fira Sans SemiBold" w:cs="Times New Roman"/>
          <w:bCs/>
          <w:noProof/>
          <w:color w:val="001D77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70F4854A" wp14:editId="7245C5D4">
                <wp:simplePos x="0" y="0"/>
                <wp:positionH relativeFrom="page">
                  <wp:posOffset>5743575</wp:posOffset>
                </wp:positionH>
                <wp:positionV relativeFrom="paragraph">
                  <wp:posOffset>179705</wp:posOffset>
                </wp:positionV>
                <wp:extent cx="1790700" cy="767080"/>
                <wp:effectExtent l="0" t="0" r="0" b="0"/>
                <wp:wrapTight wrapText="bothSides">
                  <wp:wrapPolygon edited="0">
                    <wp:start x="689" y="0"/>
                    <wp:lineTo x="689" y="20921"/>
                    <wp:lineTo x="20681" y="20921"/>
                    <wp:lineTo x="20681" y="0"/>
                    <wp:lineTo x="68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5ABD" w14:textId="05AAA025" w:rsidR="004D107E" w:rsidRPr="0023461B" w:rsidRDefault="000C09C3" w:rsidP="0023461B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2F1617">
                              <w:t>De</w:t>
                            </w:r>
                            <w:r w:rsidR="00231001" w:rsidRPr="002F1617">
                              <w:t>weloperzy o</w:t>
                            </w:r>
                            <w:r w:rsidR="00231001" w:rsidRPr="0023461B">
                              <w:t xml:space="preserve">ddali do użytkowania </w:t>
                            </w:r>
                            <w:r w:rsidR="00B8272D">
                              <w:t>61,0</w:t>
                            </w:r>
                            <w:r w:rsidRPr="0023461B">
                              <w:t>%</w:t>
                            </w:r>
                            <w:r w:rsidR="00355643">
                              <w:t xml:space="preserve"> </w:t>
                            </w:r>
                            <w:r w:rsidR="003E7C6E" w:rsidRPr="002F1617">
                              <w:t xml:space="preserve">ogólnej liczby mieszkań, tj. </w:t>
                            </w:r>
                            <w:r w:rsidR="009D258B" w:rsidRPr="0007222B">
                              <w:t>o</w:t>
                            </w:r>
                            <w:r w:rsidR="009D258B">
                              <w:t xml:space="preserve"> </w:t>
                            </w:r>
                            <w:r w:rsidR="00B8272D">
                              <w:t>0</w:t>
                            </w:r>
                            <w:r w:rsidR="00A14EA4">
                              <w:t>,</w:t>
                            </w:r>
                            <w:r w:rsidR="0096565D">
                              <w:t xml:space="preserve">8 p. </w:t>
                            </w:r>
                            <w:r w:rsidR="00B8272D">
                              <w:t>proc. mniej niż w 2019</w:t>
                            </w:r>
                            <w:r w:rsidR="00512F05">
                              <w:t xml:space="preserve"> r</w:t>
                            </w:r>
                            <w:r w:rsidR="0039588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854A" id="Pole tekstowe 19" o:spid="_x0000_s1029" type="#_x0000_t202" style="position:absolute;margin-left:452.25pt;margin-top:14.15pt;width:141pt;height:60.4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" filled="f" stroked="f">
                <v:textbox>
                  <w:txbxContent>
                    <w:p w14:paraId="1DB05ABD" w14:textId="05AAA025" w:rsidR="004D107E" w:rsidRPr="0023461B" w:rsidRDefault="000C09C3" w:rsidP="0023461B">
                      <w:pPr>
                        <w:pStyle w:val="tekstzboku"/>
                        <w:spacing w:before="0"/>
                        <w:ind w:left="-142"/>
                      </w:pPr>
                      <w:r w:rsidRPr="002F1617">
                        <w:t>De</w:t>
                      </w:r>
                      <w:r w:rsidR="00231001" w:rsidRPr="002F1617">
                        <w:t>weloperzy o</w:t>
                      </w:r>
                      <w:r w:rsidR="00231001" w:rsidRPr="0023461B">
                        <w:t xml:space="preserve">ddali do użytkowania </w:t>
                      </w:r>
                      <w:r w:rsidR="00B8272D">
                        <w:t>61,0</w:t>
                      </w:r>
                      <w:r w:rsidRPr="0023461B">
                        <w:t>%</w:t>
                      </w:r>
                      <w:r w:rsidR="00355643">
                        <w:t xml:space="preserve"> </w:t>
                      </w:r>
                      <w:r w:rsidR="003E7C6E" w:rsidRPr="002F1617">
                        <w:t xml:space="preserve">ogólnej liczby mieszkań, tj. </w:t>
                      </w:r>
                      <w:r w:rsidR="009D258B" w:rsidRPr="0007222B">
                        <w:t>o</w:t>
                      </w:r>
                      <w:r w:rsidR="009D258B">
                        <w:t xml:space="preserve"> </w:t>
                      </w:r>
                      <w:r w:rsidR="00B8272D">
                        <w:t>0</w:t>
                      </w:r>
                      <w:r w:rsidR="00A14EA4">
                        <w:t>,</w:t>
                      </w:r>
                      <w:r w:rsidR="0096565D">
                        <w:t xml:space="preserve">8 p. </w:t>
                      </w:r>
                      <w:r w:rsidR="00B8272D">
                        <w:t>proc. mniej niż w 2019</w:t>
                      </w:r>
                      <w:r w:rsidR="00512F05">
                        <w:t xml:space="preserve"> r</w:t>
                      </w:r>
                      <w:r w:rsidR="00395881"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D06AC" w:rsidRPr="009A6B72">
        <w:rPr>
          <w:rFonts w:ascii="Fira Sans SemiBold" w:hAnsi="Fira Sans SemiBold"/>
          <w:color w:val="001D77"/>
          <w:szCs w:val="19"/>
        </w:rPr>
        <w:t>Mieszkania oddane do użytkowania</w:t>
      </w:r>
    </w:p>
    <w:p w14:paraId="7D50C4A0" w14:textId="3115A2C8" w:rsidR="004D107E" w:rsidRPr="008B0F20" w:rsidRDefault="003476A5" w:rsidP="00DD4E61">
      <w:pPr>
        <w:rPr>
          <w:shd w:val="clear" w:color="auto" w:fill="FFFFFF"/>
        </w:rPr>
      </w:pPr>
      <w:r w:rsidRPr="00DA0F32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75A779E9" wp14:editId="34FCDD27">
                <wp:simplePos x="0" y="0"/>
                <wp:positionH relativeFrom="page">
                  <wp:posOffset>5740400</wp:posOffset>
                </wp:positionH>
                <wp:positionV relativeFrom="paragraph">
                  <wp:posOffset>1217930</wp:posOffset>
                </wp:positionV>
                <wp:extent cx="1643380" cy="910590"/>
                <wp:effectExtent l="0" t="0" r="0" b="3810"/>
                <wp:wrapTight wrapText="bothSides">
                  <wp:wrapPolygon edited="0">
                    <wp:start x="751" y="0"/>
                    <wp:lineTo x="751" y="21238"/>
                    <wp:lineTo x="20782" y="21238"/>
                    <wp:lineTo x="20782" y="0"/>
                    <wp:lineTo x="751" y="0"/>
                  </wp:wrapPolygon>
                </wp:wrapTight>
                <wp:docPr id="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91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12FA" w14:textId="60B79C10" w:rsidR="00F51A96" w:rsidRPr="00BC3A6B" w:rsidRDefault="00F51A96" w:rsidP="00F51A96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bCs w:val="0"/>
                              </w:rPr>
                            </w:pPr>
                            <w:r w:rsidRPr="00DA0F32">
                              <w:t>Przeciętna powierzchni</w:t>
                            </w:r>
                            <w:r w:rsidR="00423192">
                              <w:t xml:space="preserve">a użytkowa </w:t>
                            </w:r>
                            <w:r w:rsidR="00557D75" w:rsidRPr="00557D75">
                              <w:t xml:space="preserve">nowo oddanego mieszkania </w:t>
                            </w:r>
                            <w:r w:rsidR="00423192">
                              <w:t xml:space="preserve">w </w:t>
                            </w:r>
                            <w:r w:rsidR="00A2488E">
                              <w:t>styczniu</w:t>
                            </w:r>
                            <w:r w:rsidR="00423192">
                              <w:t xml:space="preserve"> </w:t>
                            </w:r>
                            <w:r w:rsidR="00A2488E">
                              <w:t>2020</w:t>
                            </w:r>
                            <w:r w:rsidR="008C1F33" w:rsidRPr="002F1617">
                              <w:t xml:space="preserve"> r</w:t>
                            </w:r>
                            <w:r w:rsidR="002F1617">
                              <w:t xml:space="preserve">. </w:t>
                            </w:r>
                            <w:r w:rsidR="00452007">
                              <w:t>wyniosła</w:t>
                            </w:r>
                            <w:r w:rsidR="00A2488E">
                              <w:t xml:space="preserve"> 92,9</w:t>
                            </w:r>
                            <w:r w:rsidR="00EF7576" w:rsidRPr="00DA0F32">
                              <w:t xml:space="preserve"> m</w:t>
                            </w:r>
                            <w:r w:rsidRPr="00DA0F32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79E9" id="Pole tekstowe 16" o:spid="_x0000_s1030" type="#_x0000_t202" style="position:absolute;margin-left:452pt;margin-top:95.9pt;width:129.4pt;height:71.7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" filled="f" stroked="f">
                <v:textbox>
                  <w:txbxContent>
                    <w:p w14:paraId="3C6912FA" w14:textId="60B79C10" w:rsidR="00F51A96" w:rsidRPr="00BC3A6B" w:rsidRDefault="00F51A96" w:rsidP="00F51A96">
                      <w:pPr>
                        <w:pStyle w:val="tekstzboku"/>
                        <w:spacing w:before="0"/>
                        <w:ind w:left="-142"/>
                        <w:rPr>
                          <w:bCs w:val="0"/>
                        </w:rPr>
                      </w:pPr>
                      <w:r w:rsidRPr="00DA0F32">
                        <w:t>Przeciętna powierzchni</w:t>
                      </w:r>
                      <w:r w:rsidR="00423192">
                        <w:t xml:space="preserve">a użytkowa </w:t>
                      </w:r>
                      <w:r w:rsidR="00557D75" w:rsidRPr="00557D75">
                        <w:t xml:space="preserve">nowo oddanego mieszkania </w:t>
                      </w:r>
                      <w:r w:rsidR="00423192">
                        <w:t xml:space="preserve">w </w:t>
                      </w:r>
                      <w:r w:rsidR="00A2488E">
                        <w:t>styczniu</w:t>
                      </w:r>
                      <w:r w:rsidR="00423192">
                        <w:t xml:space="preserve"> </w:t>
                      </w:r>
                      <w:r w:rsidR="00A2488E">
                        <w:t>2020</w:t>
                      </w:r>
                      <w:r w:rsidR="008C1F33" w:rsidRPr="002F1617">
                        <w:t xml:space="preserve"> r</w:t>
                      </w:r>
                      <w:r w:rsidR="002F1617">
                        <w:t xml:space="preserve">. </w:t>
                      </w:r>
                      <w:r w:rsidR="00452007">
                        <w:t>wyniosła</w:t>
                      </w:r>
                      <w:r w:rsidR="00A2488E">
                        <w:t xml:space="preserve"> 92,9</w:t>
                      </w:r>
                      <w:r w:rsidR="00EF7576" w:rsidRPr="00DA0F32">
                        <w:t xml:space="preserve"> m</w:t>
                      </w:r>
                      <w:r w:rsidRPr="00DA0F32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92A18"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63BCDE3C" wp14:editId="5FA67F0F">
                <wp:simplePos x="0" y="0"/>
                <wp:positionH relativeFrom="page">
                  <wp:posOffset>5697904</wp:posOffset>
                </wp:positionH>
                <wp:positionV relativeFrom="paragraph">
                  <wp:posOffset>215900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9006" w14:textId="77777777" w:rsidR="004D107E" w:rsidRPr="00D616D2" w:rsidRDefault="004D107E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DE3C" id="Pole tekstowe 9" o:spid="_x0000_s1031" type="#_x0000_t202" style="position:absolute;margin-left:448.65pt;margin-top:17pt;width:146.65pt;height:48.3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" filled="f" stroked="f">
                <v:textbox>
                  <w:txbxContent>
                    <w:p w14:paraId="60EB9006" w14:textId="77777777" w:rsidR="004D107E" w:rsidRPr="00D616D2" w:rsidRDefault="004D107E" w:rsidP="004D107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F7483" w:rsidRPr="00DA0F32">
        <w:rPr>
          <w:shd w:val="clear" w:color="auto" w:fill="FFFFFF"/>
        </w:rPr>
        <w:t xml:space="preserve">Według wstępnych danych, w </w:t>
      </w:r>
      <w:r w:rsidR="00B05C82">
        <w:rPr>
          <w:shd w:val="clear" w:color="auto" w:fill="FFFFFF"/>
        </w:rPr>
        <w:t>styczniu 2020</w:t>
      </w:r>
      <w:r w:rsidR="007F7483" w:rsidRPr="00DA0F32">
        <w:rPr>
          <w:shd w:val="clear" w:color="auto" w:fill="FFFFFF"/>
        </w:rPr>
        <w:t xml:space="preserve"> r. oddano do</w:t>
      </w:r>
      <w:r w:rsidR="0075636C" w:rsidRPr="00DA0F32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u</w:t>
      </w:r>
      <w:r w:rsidR="0075636C" w:rsidRPr="00DA0F32">
        <w:rPr>
          <w:shd w:val="clear" w:color="auto" w:fill="FFFFFF"/>
        </w:rPr>
        <w:t>żytkowania</w:t>
      </w:r>
      <w:r w:rsidR="007F7483" w:rsidRPr="00DA0F32">
        <w:rPr>
          <w:shd w:val="clear" w:color="auto" w:fill="FFFFFF"/>
        </w:rPr>
        <w:t xml:space="preserve"> </w:t>
      </w:r>
      <w:r w:rsidR="00866ED0">
        <w:rPr>
          <w:shd w:val="clear" w:color="auto" w:fill="FFFFFF"/>
        </w:rPr>
        <w:t>17,4</w:t>
      </w:r>
      <w:r w:rsidR="003B1105">
        <w:rPr>
          <w:shd w:val="clear" w:color="auto" w:fill="FFFFFF"/>
        </w:rPr>
        <w:t> </w:t>
      </w:r>
      <w:r w:rsidR="00603187" w:rsidRPr="00DA0F32">
        <w:rPr>
          <w:shd w:val="clear" w:color="auto" w:fill="FFFFFF"/>
        </w:rPr>
        <w:t>tys.</w:t>
      </w:r>
      <w:r w:rsidR="007F7483" w:rsidRPr="00DA0F32">
        <w:rPr>
          <w:shd w:val="clear" w:color="auto" w:fill="FFFFFF"/>
        </w:rPr>
        <w:t xml:space="preserve"> mieszka</w:t>
      </w:r>
      <w:r w:rsidR="00F816A1" w:rsidRPr="00DA0F32">
        <w:rPr>
          <w:shd w:val="clear" w:color="auto" w:fill="FFFFFF"/>
        </w:rPr>
        <w:t>ń</w:t>
      </w:r>
      <w:r w:rsidR="000565D8">
        <w:rPr>
          <w:shd w:val="clear" w:color="auto" w:fill="FFFFFF"/>
        </w:rPr>
        <w:t>, tj. </w:t>
      </w:r>
      <w:r w:rsidR="00866ED0">
        <w:rPr>
          <w:shd w:val="clear" w:color="auto" w:fill="FFFFFF"/>
        </w:rPr>
        <w:t>o 0</w:t>
      </w:r>
      <w:r w:rsidR="00DB1E64">
        <w:rPr>
          <w:shd w:val="clear" w:color="auto" w:fill="FFFFFF"/>
        </w:rPr>
        <w:t>,</w:t>
      </w:r>
      <w:r w:rsidR="00866ED0">
        <w:rPr>
          <w:shd w:val="clear" w:color="auto" w:fill="FFFFFF"/>
        </w:rPr>
        <w:t>5</w:t>
      </w:r>
      <w:r w:rsidR="007F7483" w:rsidRPr="00DA0F32">
        <w:rPr>
          <w:shd w:val="clear" w:color="auto" w:fill="FFFFFF"/>
        </w:rPr>
        <w:t xml:space="preserve">% </w:t>
      </w:r>
      <w:r w:rsidR="000C0137" w:rsidRPr="00DA0F32">
        <w:rPr>
          <w:shd w:val="clear" w:color="auto" w:fill="FFFFFF"/>
        </w:rPr>
        <w:t>więcej</w:t>
      </w:r>
      <w:r w:rsidR="007F7483" w:rsidRPr="00DA0F32">
        <w:rPr>
          <w:shd w:val="clear" w:color="auto" w:fill="FFFFFF"/>
        </w:rPr>
        <w:t xml:space="preserve"> niż </w:t>
      </w:r>
      <w:r w:rsidR="00E00001" w:rsidRPr="00DA0F32">
        <w:rPr>
          <w:shd w:val="clear" w:color="auto" w:fill="FFFFFF"/>
        </w:rPr>
        <w:t>przed rokiem</w:t>
      </w:r>
      <w:r w:rsidR="007162C8" w:rsidRPr="00DA0F32">
        <w:rPr>
          <w:shd w:val="clear" w:color="auto" w:fill="FFFFFF"/>
        </w:rPr>
        <w:t xml:space="preserve">. </w:t>
      </w:r>
      <w:r w:rsidR="007F4DFE">
        <w:rPr>
          <w:b/>
          <w:shd w:val="clear" w:color="auto" w:fill="FFFFFF"/>
        </w:rPr>
        <w:t>D</w:t>
      </w:r>
      <w:r w:rsidR="004F4FCA" w:rsidRPr="00DA0F32">
        <w:rPr>
          <w:b/>
          <w:shd w:val="clear" w:color="auto" w:fill="FFFFFF"/>
        </w:rPr>
        <w:t>eweloperzy</w:t>
      </w:r>
      <w:r w:rsidR="00086360">
        <w:rPr>
          <w:rStyle w:val="Odwoanieprzypisudolnego"/>
          <w:b/>
          <w:shd w:val="clear" w:color="auto" w:fill="FFFFFF"/>
        </w:rPr>
        <w:footnoteReference w:id="2"/>
      </w:r>
      <w:r w:rsidR="003D3C6E" w:rsidRPr="00DA0F32">
        <w:rPr>
          <w:b/>
          <w:shd w:val="clear" w:color="auto" w:fill="FFFFFF"/>
        </w:rPr>
        <w:t xml:space="preserve"> </w:t>
      </w:r>
      <w:r w:rsidR="00FA44C7" w:rsidRPr="00B14B8C">
        <w:rPr>
          <w:shd w:val="clear" w:color="auto" w:fill="FFFFFF"/>
        </w:rPr>
        <w:t>przekazali</w:t>
      </w:r>
      <w:r w:rsidR="00195C5A">
        <w:rPr>
          <w:shd w:val="clear" w:color="auto" w:fill="FFFFFF"/>
        </w:rPr>
        <w:t xml:space="preserve"> do </w:t>
      </w:r>
      <w:r w:rsidR="00FA44C7" w:rsidRPr="00B14B8C">
        <w:rPr>
          <w:shd w:val="clear" w:color="auto" w:fill="FFFFFF"/>
        </w:rPr>
        <w:t>eksploatacji</w:t>
      </w:r>
      <w:r w:rsidR="007F7483" w:rsidRPr="00B14B8C">
        <w:rPr>
          <w:shd w:val="clear" w:color="auto" w:fill="FFFFFF"/>
        </w:rPr>
        <w:t xml:space="preserve"> </w:t>
      </w:r>
      <w:r w:rsidR="00866ED0">
        <w:rPr>
          <w:shd w:val="clear" w:color="auto" w:fill="FFFFFF"/>
        </w:rPr>
        <w:t>10,6</w:t>
      </w:r>
      <w:r w:rsidR="00F816A1" w:rsidRPr="00DA0F32">
        <w:rPr>
          <w:shd w:val="clear" w:color="auto" w:fill="FFFFFF"/>
        </w:rPr>
        <w:t xml:space="preserve"> tys.</w:t>
      </w:r>
      <w:r w:rsidR="00857E64" w:rsidRPr="00DA0F32">
        <w:rPr>
          <w:shd w:val="clear" w:color="auto" w:fill="FFFFFF"/>
        </w:rPr>
        <w:t xml:space="preserve"> mieszkań</w:t>
      </w:r>
      <w:r w:rsidR="00434C9F" w:rsidRPr="00DA0F32">
        <w:rPr>
          <w:shd w:val="clear" w:color="auto" w:fill="FFFFFF"/>
        </w:rPr>
        <w:t xml:space="preserve"> (</w:t>
      </w:r>
      <w:r w:rsidR="00F779CC">
        <w:rPr>
          <w:shd w:val="clear" w:color="auto" w:fill="FFFFFF"/>
        </w:rPr>
        <w:t>0,8</w:t>
      </w:r>
      <w:r w:rsidR="00434C9F" w:rsidRPr="00DA0F32">
        <w:rPr>
          <w:shd w:val="clear" w:color="auto" w:fill="FFFFFF"/>
        </w:rPr>
        <w:t xml:space="preserve">% </w:t>
      </w:r>
      <w:r w:rsidR="00F779CC">
        <w:rPr>
          <w:shd w:val="clear" w:color="auto" w:fill="FFFFFF"/>
        </w:rPr>
        <w:t>mniej</w:t>
      </w:r>
      <w:r w:rsidR="0062658A" w:rsidRPr="00DA0F32">
        <w:rPr>
          <w:shd w:val="clear" w:color="auto" w:fill="FFFFFF"/>
        </w:rPr>
        <w:t xml:space="preserve"> niż w </w:t>
      </w:r>
      <w:r w:rsidR="007F4DFE">
        <w:rPr>
          <w:shd w:val="clear" w:color="auto" w:fill="FFFFFF"/>
        </w:rPr>
        <w:t xml:space="preserve">analogicznym </w:t>
      </w:r>
      <w:r w:rsidR="00F779CC">
        <w:rPr>
          <w:shd w:val="clear" w:color="auto" w:fill="FFFFFF"/>
        </w:rPr>
        <w:t>miesiącu</w:t>
      </w:r>
      <w:r w:rsidR="007F4DFE">
        <w:rPr>
          <w:shd w:val="clear" w:color="auto" w:fill="FFFFFF"/>
        </w:rPr>
        <w:t xml:space="preserve"> </w:t>
      </w:r>
      <w:r w:rsidR="00F779CC">
        <w:rPr>
          <w:shd w:val="clear" w:color="auto" w:fill="FFFFFF"/>
        </w:rPr>
        <w:t>2019</w:t>
      </w:r>
      <w:r w:rsidR="00512F05">
        <w:rPr>
          <w:shd w:val="clear" w:color="auto" w:fill="FFFFFF"/>
        </w:rPr>
        <w:t xml:space="preserve"> r.</w:t>
      </w:r>
      <w:r w:rsidR="003457E4">
        <w:rPr>
          <w:shd w:val="clear" w:color="auto" w:fill="FFFFFF"/>
        </w:rPr>
        <w:t>)</w:t>
      </w:r>
      <w:r w:rsidR="00FA44C7">
        <w:rPr>
          <w:shd w:val="clear" w:color="auto" w:fill="FFFFFF"/>
        </w:rPr>
        <w:t xml:space="preserve">, natomiast </w:t>
      </w:r>
      <w:r w:rsidR="00460DA9" w:rsidRPr="00C343F0">
        <w:rPr>
          <w:b/>
          <w:shd w:val="clear" w:color="auto" w:fill="FFFFFF"/>
        </w:rPr>
        <w:t>i</w:t>
      </w:r>
      <w:r w:rsidR="00DD4E61" w:rsidRPr="00C343F0">
        <w:rPr>
          <w:b/>
          <w:shd w:val="clear" w:color="auto" w:fill="FFFFFF"/>
        </w:rPr>
        <w:t>nwestorzy</w:t>
      </w:r>
      <w:r w:rsidR="00DD4E61">
        <w:rPr>
          <w:shd w:val="clear" w:color="auto" w:fill="FFFFFF"/>
        </w:rPr>
        <w:t xml:space="preserve"> </w:t>
      </w:r>
      <w:r w:rsidR="007F4DFE" w:rsidRPr="007F4DFE">
        <w:rPr>
          <w:b/>
          <w:shd w:val="clear" w:color="auto" w:fill="FFFFFF"/>
        </w:rPr>
        <w:t>indywidualni</w:t>
      </w:r>
      <w:r w:rsidR="00D4256C">
        <w:rPr>
          <w:b/>
          <w:szCs w:val="19"/>
          <w:shd w:val="clear" w:color="auto" w:fill="FFFFFF"/>
          <w:vertAlign w:val="superscript"/>
        </w:rPr>
        <w:t>2</w:t>
      </w:r>
      <w:r w:rsidR="007F4DFE" w:rsidRPr="007F4DFE">
        <w:rPr>
          <w:b/>
          <w:shd w:val="clear" w:color="auto" w:fill="FFFFFF"/>
        </w:rPr>
        <w:t xml:space="preserve"> </w:t>
      </w:r>
      <w:r w:rsidR="00A13514">
        <w:rPr>
          <w:shd w:val="clear" w:color="auto" w:fill="FFFFFF"/>
        </w:rPr>
        <w:t>–</w:t>
      </w:r>
      <w:r w:rsidR="00460DA9" w:rsidRPr="003B40D7">
        <w:rPr>
          <w:shd w:val="clear" w:color="auto" w:fill="FFFFFF"/>
        </w:rPr>
        <w:t xml:space="preserve"> </w:t>
      </w:r>
      <w:r w:rsidR="00F779CC">
        <w:rPr>
          <w:shd w:val="clear" w:color="auto" w:fill="FFFFFF"/>
        </w:rPr>
        <w:t>6,4 </w:t>
      </w:r>
      <w:r w:rsidR="00F816A1" w:rsidRPr="00DA0F32">
        <w:rPr>
          <w:shd w:val="clear" w:color="auto" w:fill="FFFFFF"/>
        </w:rPr>
        <w:t>tys.</w:t>
      </w:r>
      <w:r w:rsidR="005206F5" w:rsidRPr="00DA0F32">
        <w:rPr>
          <w:shd w:val="clear" w:color="auto" w:fill="FFFFFF"/>
        </w:rPr>
        <w:t xml:space="preserve"> </w:t>
      </w:r>
      <w:r w:rsidR="003A18A4" w:rsidRPr="00DA0F32">
        <w:rPr>
          <w:shd w:val="clear" w:color="auto" w:fill="FFFFFF"/>
        </w:rPr>
        <w:t>mieszka</w:t>
      </w:r>
      <w:r w:rsidR="00374B96" w:rsidRPr="00DA0F32">
        <w:rPr>
          <w:shd w:val="clear" w:color="auto" w:fill="FFFFFF"/>
        </w:rPr>
        <w:t>ń</w:t>
      </w:r>
      <w:r w:rsidR="007F4DFE">
        <w:rPr>
          <w:shd w:val="clear" w:color="auto" w:fill="FFFFFF"/>
        </w:rPr>
        <w:t xml:space="preserve">, tj. o </w:t>
      </w:r>
      <w:r w:rsidR="00F779CC">
        <w:rPr>
          <w:shd w:val="clear" w:color="auto" w:fill="FFFFFF"/>
        </w:rPr>
        <w:t>2,6</w:t>
      </w:r>
      <w:r w:rsidR="002D1DA5" w:rsidRPr="00DA0F32">
        <w:rPr>
          <w:shd w:val="clear" w:color="auto" w:fill="FFFFFF"/>
        </w:rPr>
        <w:t xml:space="preserve">% </w:t>
      </w:r>
      <w:r w:rsidR="005921E2">
        <w:rPr>
          <w:shd w:val="clear" w:color="auto" w:fill="FFFFFF"/>
        </w:rPr>
        <w:t>więcej</w:t>
      </w:r>
      <w:r w:rsidR="007F4DFE">
        <w:rPr>
          <w:shd w:val="clear" w:color="auto" w:fill="FFFFFF"/>
        </w:rPr>
        <w:t xml:space="preserve"> niż w</w:t>
      </w:r>
      <w:r w:rsidR="00F779CC">
        <w:rPr>
          <w:shd w:val="clear" w:color="auto" w:fill="FFFFFF"/>
        </w:rPr>
        <w:t xml:space="preserve"> 2019</w:t>
      </w:r>
      <w:r w:rsidR="00737DCC">
        <w:rPr>
          <w:shd w:val="clear" w:color="auto" w:fill="FFFFFF"/>
        </w:rPr>
        <w:t xml:space="preserve"> </w:t>
      </w:r>
      <w:r w:rsidR="006C5216">
        <w:rPr>
          <w:shd w:val="clear" w:color="auto" w:fill="FFFFFF"/>
        </w:rPr>
        <w:t>r</w:t>
      </w:r>
      <w:r w:rsidR="007F3EEC">
        <w:rPr>
          <w:shd w:val="clear" w:color="auto" w:fill="FFFFFF"/>
        </w:rPr>
        <w:t>.</w:t>
      </w:r>
      <w:r w:rsidR="00FA44C7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W</w:t>
      </w:r>
      <w:r>
        <w:rPr>
          <w:shd w:val="clear" w:color="auto" w:fill="FFFFFF"/>
        </w:rPr>
        <w:t> </w:t>
      </w:r>
      <w:r w:rsidR="007F7483" w:rsidRPr="00DA0F32">
        <w:rPr>
          <w:shd w:val="clear" w:color="auto" w:fill="FFFFFF"/>
        </w:rPr>
        <w:t xml:space="preserve"> </w:t>
      </w:r>
      <w:r w:rsidR="00857E64" w:rsidRPr="00DA0F32">
        <w:rPr>
          <w:shd w:val="clear" w:color="auto" w:fill="FFFFFF"/>
        </w:rPr>
        <w:t xml:space="preserve">ramach tych form budownictwa </w:t>
      </w:r>
      <w:r w:rsidR="00525CAC" w:rsidRPr="00DA0F32">
        <w:rPr>
          <w:shd w:val="clear" w:color="auto" w:fill="FFFFFF"/>
        </w:rPr>
        <w:t>wybudowano łącznie 9</w:t>
      </w:r>
      <w:r w:rsidR="0051691A">
        <w:rPr>
          <w:shd w:val="clear" w:color="auto" w:fill="FFFFFF"/>
        </w:rPr>
        <w:t>8</w:t>
      </w:r>
      <w:r w:rsidR="00525CAC" w:rsidRPr="00DA0F32">
        <w:rPr>
          <w:shd w:val="clear" w:color="auto" w:fill="FFFFFF"/>
        </w:rPr>
        <w:t>,</w:t>
      </w:r>
      <w:r w:rsidR="0051691A">
        <w:rPr>
          <w:shd w:val="clear" w:color="auto" w:fill="FFFFFF"/>
        </w:rPr>
        <w:t>0</w:t>
      </w:r>
      <w:r w:rsidR="00525CAC" w:rsidRPr="00DA0F32">
        <w:rPr>
          <w:shd w:val="clear" w:color="auto" w:fill="FFFFFF"/>
        </w:rPr>
        <w:t>% ogółu mieszkań oddanych do użytkowania.</w:t>
      </w:r>
      <w:r w:rsidR="00F539BD" w:rsidRPr="00DA0F32">
        <w:rPr>
          <w:shd w:val="clear" w:color="auto" w:fill="FFFFFF"/>
        </w:rPr>
        <w:t xml:space="preserve"> </w:t>
      </w:r>
      <w:r w:rsidR="0051691A">
        <w:rPr>
          <w:shd w:val="clear" w:color="auto" w:fill="FFFFFF"/>
        </w:rPr>
        <w:t>Więcej</w:t>
      </w:r>
      <w:r w:rsidR="00B1192F" w:rsidRPr="00DA0F32">
        <w:rPr>
          <w:shd w:val="clear" w:color="auto" w:fill="FFFFFF"/>
        </w:rPr>
        <w:t xml:space="preserve"> mieszkań niż przed rokiem</w:t>
      </w:r>
      <w:r w:rsidR="00B1192F" w:rsidRPr="00DA0F32">
        <w:rPr>
          <w:b/>
          <w:shd w:val="clear" w:color="auto" w:fill="FFFFFF"/>
        </w:rPr>
        <w:t xml:space="preserve"> </w:t>
      </w:r>
      <w:r w:rsidR="005C764C" w:rsidRPr="00DA0F32">
        <w:rPr>
          <w:shd w:val="clear" w:color="auto" w:fill="FFFFFF"/>
        </w:rPr>
        <w:t>oddano</w:t>
      </w:r>
      <w:r w:rsidR="00134E2D" w:rsidRPr="00DA0F32">
        <w:rPr>
          <w:shd w:val="clear" w:color="auto" w:fill="FFFFFF"/>
        </w:rPr>
        <w:t xml:space="preserve"> do użytkowania </w:t>
      </w:r>
      <w:r w:rsidR="005C764C" w:rsidRPr="00DA0F32">
        <w:rPr>
          <w:shd w:val="clear" w:color="auto" w:fill="FFFFFF"/>
        </w:rPr>
        <w:t xml:space="preserve">w budownictwie </w:t>
      </w:r>
      <w:r w:rsidR="005C764C" w:rsidRPr="00DA0F32">
        <w:rPr>
          <w:b/>
          <w:shd w:val="clear" w:color="auto" w:fill="FFFFFF"/>
        </w:rPr>
        <w:t>spółdzielczym</w:t>
      </w:r>
      <w:r w:rsidR="00B1192F" w:rsidRPr="00DA0F32">
        <w:rPr>
          <w:b/>
          <w:shd w:val="clear" w:color="auto" w:fill="FFFFFF"/>
        </w:rPr>
        <w:t xml:space="preserve"> </w:t>
      </w:r>
      <w:r w:rsidR="000F156F" w:rsidRPr="00DA0F32">
        <w:rPr>
          <w:shd w:val="clear" w:color="auto" w:fill="FFFFFF"/>
        </w:rPr>
        <w:t>(</w:t>
      </w:r>
      <w:r w:rsidR="00CE53D6">
        <w:rPr>
          <w:shd w:val="clear" w:color="auto" w:fill="FFFFFF"/>
        </w:rPr>
        <w:t>248</w:t>
      </w:r>
      <w:r w:rsidR="00B1192F" w:rsidRPr="00DA0F32">
        <w:rPr>
          <w:shd w:val="clear" w:color="auto" w:fill="FFFFFF"/>
        </w:rPr>
        <w:t xml:space="preserve"> wobec </w:t>
      </w:r>
      <w:r w:rsidR="00CE53D6">
        <w:rPr>
          <w:shd w:val="clear" w:color="auto" w:fill="FFFFFF"/>
        </w:rPr>
        <w:t>81</w:t>
      </w:r>
      <w:r w:rsidR="00B1192F" w:rsidRPr="00DA0F32">
        <w:rPr>
          <w:shd w:val="clear" w:color="auto" w:fill="FFFFFF"/>
        </w:rPr>
        <w:t>)</w:t>
      </w:r>
      <w:r w:rsidR="009E21D0">
        <w:rPr>
          <w:shd w:val="clear" w:color="auto" w:fill="FFFFFF"/>
        </w:rPr>
        <w:t>;</w:t>
      </w:r>
      <w:r w:rsidR="00D467D8">
        <w:rPr>
          <w:shd w:val="clear" w:color="auto" w:fill="FFFFFF"/>
        </w:rPr>
        <w:t xml:space="preserve"> </w:t>
      </w:r>
      <w:r w:rsidR="009E21D0">
        <w:rPr>
          <w:shd w:val="clear" w:color="auto" w:fill="FFFFFF"/>
        </w:rPr>
        <w:t>w</w:t>
      </w:r>
      <w:r w:rsidR="00D467D8">
        <w:rPr>
          <w:shd w:val="clear" w:color="auto" w:fill="FFFFFF"/>
        </w:rPr>
        <w:t> </w:t>
      </w:r>
      <w:r w:rsidR="00DB1E10" w:rsidRPr="00DA0F32">
        <w:rPr>
          <w:b/>
          <w:shd w:val="clear" w:color="auto" w:fill="FFFFFF"/>
        </w:rPr>
        <w:t>pozostałych formach</w:t>
      </w:r>
      <w:r w:rsidR="0033525D">
        <w:rPr>
          <w:shd w:val="clear" w:color="auto" w:fill="FFFFFF"/>
        </w:rPr>
        <w:t xml:space="preserve"> </w:t>
      </w:r>
      <w:r w:rsidR="00DD6840" w:rsidRPr="00DA0F32">
        <w:rPr>
          <w:shd w:val="clear" w:color="auto" w:fill="FFFFFF"/>
        </w:rPr>
        <w:t>(komunalne</w:t>
      </w:r>
      <w:r w:rsidR="006C5216">
        <w:rPr>
          <w:shd w:val="clear" w:color="auto" w:fill="FFFFFF"/>
        </w:rPr>
        <w:t>,</w:t>
      </w:r>
      <w:r w:rsidR="006C5216" w:rsidRPr="006C5216">
        <w:t xml:space="preserve"> </w:t>
      </w:r>
      <w:r w:rsidR="006C5216">
        <w:rPr>
          <w:shd w:val="clear" w:color="auto" w:fill="FFFFFF"/>
        </w:rPr>
        <w:t xml:space="preserve">społeczne czynszowe </w:t>
      </w:r>
      <w:r w:rsidR="00DD6840" w:rsidRPr="00DA0F32">
        <w:rPr>
          <w:shd w:val="clear" w:color="auto" w:fill="FFFFFF"/>
        </w:rPr>
        <w:t>i</w:t>
      </w:r>
      <w:r w:rsidR="00547737">
        <w:rPr>
          <w:shd w:val="clear" w:color="auto" w:fill="FFFFFF"/>
        </w:rPr>
        <w:t> </w:t>
      </w:r>
      <w:r w:rsidR="00DD6840" w:rsidRPr="00DA0F32">
        <w:rPr>
          <w:shd w:val="clear" w:color="auto" w:fill="FFFFFF"/>
        </w:rPr>
        <w:t>zakładowe</w:t>
      </w:r>
      <w:r w:rsidR="009B1EF0">
        <w:rPr>
          <w:shd w:val="clear" w:color="auto" w:fill="FFFFFF"/>
        </w:rPr>
        <w:t>) łącznie </w:t>
      </w:r>
      <w:r w:rsidR="0033525D">
        <w:rPr>
          <w:shd w:val="clear" w:color="auto" w:fill="FFFFFF"/>
        </w:rPr>
        <w:t xml:space="preserve">oddano </w:t>
      </w:r>
      <w:r w:rsidR="00CE53D6">
        <w:rPr>
          <w:shd w:val="clear" w:color="auto" w:fill="FFFFFF"/>
        </w:rPr>
        <w:t>105</w:t>
      </w:r>
      <w:r w:rsidR="00423192">
        <w:rPr>
          <w:shd w:val="clear" w:color="auto" w:fill="FFFFFF"/>
        </w:rPr>
        <w:t xml:space="preserve"> </w:t>
      </w:r>
      <w:r w:rsidR="0096178E" w:rsidRPr="00DA0F32">
        <w:rPr>
          <w:shd w:val="clear" w:color="auto" w:fill="FFFFFF"/>
        </w:rPr>
        <w:t>mieszkań</w:t>
      </w:r>
      <w:r w:rsidR="00557D75">
        <w:rPr>
          <w:shd w:val="clear" w:color="auto" w:fill="FFFFFF"/>
        </w:rPr>
        <w:t xml:space="preserve"> </w:t>
      </w:r>
      <w:r w:rsidR="00310E69">
        <w:rPr>
          <w:shd w:val="clear" w:color="auto" w:fill="FFFFFF"/>
        </w:rPr>
        <w:t>(</w:t>
      </w:r>
      <w:r w:rsidR="00557D75">
        <w:rPr>
          <w:shd w:val="clear" w:color="auto" w:fill="FFFFFF"/>
        </w:rPr>
        <w:t xml:space="preserve">wobec 263 w </w:t>
      </w:r>
      <w:r w:rsidR="00310E69">
        <w:rPr>
          <w:shd w:val="clear" w:color="auto" w:fill="FFFFFF"/>
        </w:rPr>
        <w:t>styczniu</w:t>
      </w:r>
      <w:r w:rsidR="00557D75">
        <w:rPr>
          <w:shd w:val="clear" w:color="auto" w:fill="FFFFFF"/>
        </w:rPr>
        <w:t xml:space="preserve"> </w:t>
      </w:r>
      <w:r w:rsidR="0090586F">
        <w:rPr>
          <w:shd w:val="clear" w:color="auto" w:fill="FFFFFF"/>
        </w:rPr>
        <w:t>ub. roku</w:t>
      </w:r>
      <w:r w:rsidR="00310E69">
        <w:rPr>
          <w:shd w:val="clear" w:color="auto" w:fill="FFFFFF"/>
        </w:rPr>
        <w:t>)</w:t>
      </w:r>
      <w:r w:rsidR="0033525D">
        <w:rPr>
          <w:shd w:val="clear" w:color="auto" w:fill="FFFFFF"/>
        </w:rPr>
        <w:t>.</w:t>
      </w:r>
    </w:p>
    <w:p w14:paraId="1E9416A7" w14:textId="7FA4E934" w:rsidR="004D06AC" w:rsidRPr="00DA0F32" w:rsidRDefault="004D06AC" w:rsidP="00DD4E61">
      <w:pPr>
        <w:rPr>
          <w:shd w:val="clear" w:color="auto" w:fill="FFFFFF"/>
        </w:rPr>
      </w:pPr>
      <w:r w:rsidRPr="00DA0F32">
        <w:rPr>
          <w:shd w:val="clear" w:color="auto" w:fill="FFFFFF"/>
        </w:rPr>
        <w:t xml:space="preserve">Powierzchnia użytkowa mieszkań oddanych w </w:t>
      </w:r>
      <w:r w:rsidR="00B8272D">
        <w:rPr>
          <w:shd w:val="clear" w:color="auto" w:fill="FFFFFF"/>
        </w:rPr>
        <w:t>styczniu</w:t>
      </w:r>
      <w:r w:rsidR="00A13514">
        <w:rPr>
          <w:shd w:val="clear" w:color="auto" w:fill="FFFFFF"/>
        </w:rPr>
        <w:t xml:space="preserve"> </w:t>
      </w:r>
      <w:r w:rsidR="00B8272D">
        <w:rPr>
          <w:shd w:val="clear" w:color="auto" w:fill="FFFFFF"/>
        </w:rPr>
        <w:t>2020</w:t>
      </w:r>
      <w:r w:rsidRPr="00DA0F32">
        <w:rPr>
          <w:shd w:val="clear" w:color="auto" w:fill="FFFFFF"/>
        </w:rPr>
        <w:t xml:space="preserve"> r. wyniosła </w:t>
      </w:r>
      <w:r w:rsidR="00B8272D">
        <w:rPr>
          <w:shd w:val="clear" w:color="auto" w:fill="FFFFFF"/>
        </w:rPr>
        <w:t>1</w:t>
      </w:r>
      <w:r w:rsidR="00612D21">
        <w:rPr>
          <w:shd w:val="clear" w:color="auto" w:fill="FFFFFF"/>
        </w:rPr>
        <w:t>,</w:t>
      </w:r>
      <w:r w:rsidR="00B8272D">
        <w:rPr>
          <w:shd w:val="clear" w:color="auto" w:fill="FFFFFF"/>
        </w:rPr>
        <w:t>6</w:t>
      </w:r>
      <w:r w:rsidR="009D48C2">
        <w:rPr>
          <w:shd w:val="clear" w:color="auto" w:fill="FFFFFF"/>
        </w:rPr>
        <w:t xml:space="preserve"> </w:t>
      </w:r>
      <w:r w:rsidRPr="00DA0F32">
        <w:rPr>
          <w:shd w:val="clear" w:color="auto" w:fill="FFFFFF"/>
        </w:rPr>
        <w:t>mln m</w:t>
      </w:r>
      <w:r w:rsidRPr="00DA0F32">
        <w:rPr>
          <w:shd w:val="clear" w:color="auto" w:fill="FFFFFF"/>
          <w:vertAlign w:val="superscript"/>
        </w:rPr>
        <w:t>2</w:t>
      </w:r>
      <w:r w:rsidRPr="00DA0F32">
        <w:rPr>
          <w:shd w:val="clear" w:color="auto" w:fill="FFFFFF"/>
        </w:rPr>
        <w:t xml:space="preserve">, czyli o </w:t>
      </w:r>
      <w:r w:rsidR="003476A5">
        <w:rPr>
          <w:shd w:val="clear" w:color="auto" w:fill="FFFFFF"/>
        </w:rPr>
        <w:t> </w:t>
      </w:r>
      <w:r w:rsidR="00B8272D">
        <w:rPr>
          <w:shd w:val="clear" w:color="auto" w:fill="FFFFFF"/>
        </w:rPr>
        <w:t>3</w:t>
      </w:r>
      <w:r w:rsidRPr="00DA0F32">
        <w:rPr>
          <w:shd w:val="clear" w:color="auto" w:fill="FFFFFF"/>
        </w:rPr>
        <w:t>,</w:t>
      </w:r>
      <w:r w:rsidR="00B8272D">
        <w:rPr>
          <w:shd w:val="clear" w:color="auto" w:fill="FFFFFF"/>
        </w:rPr>
        <w:t>3</w:t>
      </w:r>
      <w:r w:rsidRPr="00DA0F32">
        <w:rPr>
          <w:shd w:val="clear" w:color="auto" w:fill="FFFFFF"/>
        </w:rPr>
        <w:t xml:space="preserve">% więcej niż w analogicznym </w:t>
      </w:r>
      <w:r w:rsidR="00B8272D">
        <w:rPr>
          <w:shd w:val="clear" w:color="auto" w:fill="FFFFFF"/>
        </w:rPr>
        <w:t>miesiącu</w:t>
      </w:r>
      <w:r w:rsidRPr="00DA0F32">
        <w:rPr>
          <w:shd w:val="clear" w:color="auto" w:fill="FFFFFF"/>
        </w:rPr>
        <w:t xml:space="preserve"> roku </w:t>
      </w:r>
      <w:r w:rsidR="00B8272D">
        <w:rPr>
          <w:shd w:val="clear" w:color="auto" w:fill="FFFFFF"/>
        </w:rPr>
        <w:t>2019</w:t>
      </w:r>
      <w:r w:rsidRPr="00DA0F32">
        <w:rPr>
          <w:shd w:val="clear" w:color="auto" w:fill="FFFFFF"/>
        </w:rPr>
        <w:t xml:space="preserve">. </w:t>
      </w:r>
      <w:r w:rsidR="00B8272D">
        <w:rPr>
          <w:shd w:val="clear" w:color="auto" w:fill="FFFFFF"/>
        </w:rPr>
        <w:t xml:space="preserve">W porównaniu do </w:t>
      </w:r>
      <w:r w:rsidR="00C343F0">
        <w:rPr>
          <w:shd w:val="clear" w:color="auto" w:fill="FFFFFF"/>
        </w:rPr>
        <w:t>stycznia</w:t>
      </w:r>
      <w:r w:rsidR="00B8272D">
        <w:rPr>
          <w:shd w:val="clear" w:color="auto" w:fill="FFFFFF"/>
        </w:rPr>
        <w:t xml:space="preserve"> 2019</w:t>
      </w:r>
      <w:r w:rsidR="004E0216" w:rsidRPr="004E0216">
        <w:rPr>
          <w:shd w:val="clear" w:color="auto" w:fill="FFFFFF"/>
        </w:rPr>
        <w:t xml:space="preserve"> r.</w:t>
      </w:r>
      <w:r w:rsidRPr="004E0216">
        <w:rPr>
          <w:shd w:val="clear" w:color="auto" w:fill="FFFFFF"/>
        </w:rPr>
        <w:t xml:space="preserve"> przeciętna pow</w:t>
      </w:r>
      <w:r w:rsidR="004E0216" w:rsidRPr="004E0216">
        <w:rPr>
          <w:shd w:val="clear" w:color="auto" w:fill="FFFFFF"/>
        </w:rPr>
        <w:t xml:space="preserve">ierzchnia użytkowa 1 mieszkania </w:t>
      </w:r>
      <w:r w:rsidR="00B8272D">
        <w:rPr>
          <w:shd w:val="clear" w:color="auto" w:fill="FFFFFF"/>
        </w:rPr>
        <w:t>zwiększyła się o 2</w:t>
      </w:r>
      <w:r w:rsidR="005662CD">
        <w:rPr>
          <w:shd w:val="clear" w:color="auto" w:fill="FFFFFF"/>
        </w:rPr>
        <w:t>,</w:t>
      </w:r>
      <w:r w:rsidR="00B8272D">
        <w:rPr>
          <w:shd w:val="clear" w:color="auto" w:fill="FFFFFF"/>
        </w:rPr>
        <w:t>6</w:t>
      </w:r>
      <w:r w:rsidRPr="004E0216">
        <w:rPr>
          <w:shd w:val="clear" w:color="auto" w:fill="FFFFFF"/>
        </w:rPr>
        <w:t> m</w:t>
      </w:r>
      <w:r w:rsidRPr="004E0216">
        <w:rPr>
          <w:shd w:val="clear" w:color="auto" w:fill="FFFFFF"/>
          <w:vertAlign w:val="superscript"/>
        </w:rPr>
        <w:t>2</w:t>
      </w:r>
      <w:r w:rsidRPr="004E0216">
        <w:rPr>
          <w:shd w:val="clear" w:color="auto" w:fill="FFFFFF"/>
        </w:rPr>
        <w:t xml:space="preserve"> - do poziomu </w:t>
      </w:r>
      <w:r w:rsidR="00A2488E">
        <w:rPr>
          <w:shd w:val="clear" w:color="auto" w:fill="FFFFFF"/>
        </w:rPr>
        <w:t>92,9</w:t>
      </w:r>
      <w:r w:rsidRPr="004E0216">
        <w:rPr>
          <w:shd w:val="clear" w:color="auto" w:fill="FFFFFF"/>
        </w:rPr>
        <w:t xml:space="preserve"> m</w:t>
      </w:r>
      <w:r w:rsidRPr="004E0216">
        <w:rPr>
          <w:shd w:val="clear" w:color="auto" w:fill="FFFFFF"/>
          <w:vertAlign w:val="superscript"/>
        </w:rPr>
        <w:t>2</w:t>
      </w:r>
      <w:r w:rsidRPr="004E0216">
        <w:rPr>
          <w:shd w:val="clear" w:color="auto" w:fill="FFFFFF"/>
        </w:rPr>
        <w:t>.</w:t>
      </w:r>
    </w:p>
    <w:p w14:paraId="3235C721" w14:textId="77777777" w:rsidR="004D107E" w:rsidRPr="004D107E" w:rsidRDefault="004D107E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Tablica 1. </w:t>
      </w: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Mieszkania oddane do użytkowania</w:t>
      </w:r>
    </w:p>
    <w:tbl>
      <w:tblPr>
        <w:tblStyle w:val="Siatkatabelijasna22"/>
        <w:tblpPr w:leftFromText="141" w:rightFromText="141" w:vertAnchor="text" w:horzAnchor="margin" w:tblpY="368"/>
        <w:tblW w:w="8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13"/>
        <w:gridCol w:w="2008"/>
        <w:gridCol w:w="1920"/>
        <w:gridCol w:w="1761"/>
      </w:tblGrid>
      <w:tr w:rsidR="008A44DB" w:rsidRPr="008A44DB" w14:paraId="27019692" w14:textId="77777777" w:rsidTr="00310E69">
        <w:trPr>
          <w:trHeight w:val="256"/>
        </w:trPr>
        <w:tc>
          <w:tcPr>
            <w:tcW w:w="2313" w:type="dxa"/>
            <w:vMerge w:val="restart"/>
            <w:tcBorders>
              <w:top w:val="nil"/>
              <w:left w:val="nil"/>
              <w:bottom w:val="single" w:sz="12" w:space="0" w:color="212492"/>
            </w:tcBorders>
            <w:vAlign w:val="center"/>
          </w:tcPr>
          <w:p w14:paraId="76A495DD" w14:textId="3CD303C5" w:rsidR="008A44DB" w:rsidRPr="008A44DB" w:rsidRDefault="008A44DB" w:rsidP="00A216F9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8A44DB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</w:t>
            </w:r>
            <w:r w:rsidR="00A216F9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YSZCZEGÓLNIENIE</w:t>
            </w:r>
          </w:p>
        </w:tc>
        <w:tc>
          <w:tcPr>
            <w:tcW w:w="5689" w:type="dxa"/>
            <w:gridSpan w:val="3"/>
            <w:tcBorders>
              <w:top w:val="nil"/>
              <w:bottom w:val="single" w:sz="4" w:space="0" w:color="212492"/>
              <w:right w:val="nil"/>
            </w:tcBorders>
            <w:vAlign w:val="center"/>
          </w:tcPr>
          <w:p w14:paraId="23163BD1" w14:textId="3927F761" w:rsidR="008A44DB" w:rsidRPr="008A44DB" w:rsidRDefault="00FF7835" w:rsidP="0090586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90586F">
              <w:rPr>
                <w:color w:val="000000" w:themeColor="text1"/>
                <w:sz w:val="16"/>
                <w:szCs w:val="16"/>
              </w:rPr>
              <w:t>I</w:t>
            </w:r>
            <w:r w:rsidR="00A216F9">
              <w:rPr>
                <w:color w:val="000000" w:themeColor="text1"/>
                <w:sz w:val="16"/>
                <w:szCs w:val="16"/>
              </w:rPr>
              <w:t xml:space="preserve"> </w:t>
            </w:r>
            <w:r w:rsidR="008A44DB">
              <w:rPr>
                <w:color w:val="000000" w:themeColor="text1"/>
                <w:sz w:val="16"/>
                <w:szCs w:val="16"/>
              </w:rPr>
              <w:t xml:space="preserve"> 2020</w:t>
            </w:r>
          </w:p>
        </w:tc>
      </w:tr>
      <w:tr w:rsidR="008A44DB" w:rsidRPr="008A44DB" w14:paraId="5AEAB60A" w14:textId="77777777" w:rsidTr="008A44DB">
        <w:trPr>
          <w:trHeight w:val="21"/>
        </w:trPr>
        <w:tc>
          <w:tcPr>
            <w:tcW w:w="2313" w:type="dxa"/>
            <w:vMerge/>
            <w:tcBorders>
              <w:top w:val="single" w:sz="12" w:space="0" w:color="212492"/>
              <w:left w:val="nil"/>
              <w:bottom w:val="single" w:sz="12" w:space="0" w:color="212492"/>
            </w:tcBorders>
            <w:vAlign w:val="center"/>
          </w:tcPr>
          <w:p w14:paraId="02FA2A1F" w14:textId="77777777" w:rsidR="008A44DB" w:rsidRPr="008A44DB" w:rsidRDefault="008A44DB" w:rsidP="008A44DB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522E9AE3" w14:textId="77777777" w:rsidR="008A44DB" w:rsidRPr="008A44DB" w:rsidRDefault="008A44DB" w:rsidP="008A44D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45397F0D" w14:textId="75CFBC38" w:rsidR="008A44DB" w:rsidRPr="008A44DB" w:rsidRDefault="005E55FE" w:rsidP="005E55F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</w:t>
            </w:r>
            <w:r w:rsidR="008A44DB">
              <w:rPr>
                <w:color w:val="000000" w:themeColor="text1"/>
                <w:sz w:val="16"/>
                <w:szCs w:val="16"/>
              </w:rPr>
              <w:t>2019</w:t>
            </w:r>
            <w:r w:rsidR="008A44DB" w:rsidRPr="008A44DB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761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3275592C" w14:textId="4E03515E" w:rsidR="008A44DB" w:rsidRPr="008A44DB" w:rsidRDefault="005E55FE" w:rsidP="005E55F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XII </w:t>
            </w:r>
            <w:r w:rsidR="008A44DB">
              <w:rPr>
                <w:color w:val="000000" w:themeColor="text1"/>
                <w:sz w:val="16"/>
                <w:szCs w:val="16"/>
              </w:rPr>
              <w:t>2019</w:t>
            </w:r>
            <w:r w:rsidR="008A44DB" w:rsidRPr="008A44DB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8A44DB" w:rsidRPr="008A44DB" w14:paraId="3DEED931" w14:textId="77777777" w:rsidTr="008A44DB">
        <w:trPr>
          <w:trHeight w:val="60"/>
        </w:trPr>
        <w:tc>
          <w:tcPr>
            <w:tcW w:w="2313" w:type="dxa"/>
            <w:tcBorders>
              <w:top w:val="single" w:sz="12" w:space="0" w:color="212492"/>
              <w:left w:val="nil"/>
              <w:bottom w:val="single" w:sz="4" w:space="0" w:color="212492"/>
            </w:tcBorders>
            <w:vAlign w:val="center"/>
          </w:tcPr>
          <w:p w14:paraId="79567B4A" w14:textId="4D458DB6" w:rsidR="008A44DB" w:rsidRPr="008A44DB" w:rsidRDefault="00A216F9" w:rsidP="008A44DB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008" w:type="dxa"/>
            <w:tcBorders>
              <w:top w:val="single" w:sz="4" w:space="0" w:color="212492"/>
            </w:tcBorders>
            <w:vAlign w:val="center"/>
          </w:tcPr>
          <w:p w14:paraId="05C4C80A" w14:textId="50F5833B" w:rsidR="008A44DB" w:rsidRPr="008A44DB" w:rsidRDefault="008A44DB" w:rsidP="008A44D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A44DB">
              <w:rPr>
                <w:b/>
                <w:color w:val="000000" w:themeColor="text1"/>
                <w:sz w:val="16"/>
                <w:szCs w:val="16"/>
              </w:rPr>
              <w:t>17 409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693AC860" w14:textId="43566E3A" w:rsidR="008A44DB" w:rsidRPr="008A44DB" w:rsidRDefault="008A44DB" w:rsidP="008A44D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A44DB">
              <w:rPr>
                <w:b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761" w:type="dxa"/>
            <w:tcBorders>
              <w:top w:val="single" w:sz="12" w:space="0" w:color="212492"/>
              <w:bottom w:val="single" w:sz="4" w:space="0" w:color="212492"/>
              <w:right w:val="nil"/>
            </w:tcBorders>
            <w:vAlign w:val="center"/>
          </w:tcPr>
          <w:p w14:paraId="0F25F32E" w14:textId="3300761E" w:rsidR="008A44DB" w:rsidRPr="008A44DB" w:rsidRDefault="00E35357" w:rsidP="008A44D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35357">
              <w:rPr>
                <w:b/>
                <w:color w:val="000000" w:themeColor="text1"/>
                <w:sz w:val="16"/>
                <w:szCs w:val="16"/>
              </w:rPr>
              <w:t>75,9</w:t>
            </w:r>
          </w:p>
        </w:tc>
      </w:tr>
      <w:tr w:rsidR="008A44DB" w:rsidRPr="008A44DB" w14:paraId="6212EBED" w14:textId="77777777" w:rsidTr="008A44DB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0F0F1075" w14:textId="77777777" w:rsidR="008A44DB" w:rsidRPr="008A44DB" w:rsidRDefault="008A44DB" w:rsidP="008A44DB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A44DB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2008" w:type="dxa"/>
            <w:vAlign w:val="center"/>
          </w:tcPr>
          <w:p w14:paraId="4FF7224F" w14:textId="6C788D7C" w:rsidR="008A44DB" w:rsidRPr="008A44DB" w:rsidRDefault="008A44DB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6 434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56EC0751" w14:textId="4AA98742" w:rsidR="008A44DB" w:rsidRPr="008A44DB" w:rsidRDefault="008A44DB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761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7E1875E" w14:textId="55B4E94E" w:rsidR="008A44DB" w:rsidRPr="008A44DB" w:rsidRDefault="00E35357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35357">
              <w:rPr>
                <w:color w:val="000000" w:themeColor="text1"/>
                <w:sz w:val="16"/>
                <w:szCs w:val="16"/>
              </w:rPr>
              <w:t>84,2</w:t>
            </w:r>
          </w:p>
        </w:tc>
      </w:tr>
      <w:tr w:rsidR="008A44DB" w:rsidRPr="008A44DB" w14:paraId="15EE74E8" w14:textId="77777777" w:rsidTr="008A44DB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0AF1C794" w14:textId="77777777" w:rsidR="008A44DB" w:rsidRPr="008A44DB" w:rsidRDefault="008A44DB" w:rsidP="008A44DB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A44DB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2008" w:type="dxa"/>
            <w:vAlign w:val="center"/>
          </w:tcPr>
          <w:p w14:paraId="7882427E" w14:textId="43583DEE" w:rsidR="008A44DB" w:rsidRPr="008A44DB" w:rsidRDefault="008A44DB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10 622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383DD1C9" w14:textId="71501692" w:rsidR="008A44DB" w:rsidRPr="008A44DB" w:rsidRDefault="008A44DB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1761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6A5E928" w14:textId="6BC0F0F2" w:rsidR="008A44DB" w:rsidRPr="008A44DB" w:rsidRDefault="00E35357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35357">
              <w:rPr>
                <w:color w:val="000000" w:themeColor="text1"/>
                <w:sz w:val="16"/>
                <w:szCs w:val="16"/>
              </w:rPr>
              <w:t>72,6</w:t>
            </w:r>
          </w:p>
        </w:tc>
      </w:tr>
      <w:tr w:rsidR="008A44DB" w:rsidRPr="008A44DB" w14:paraId="2FA64187" w14:textId="77777777" w:rsidTr="008A44DB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7807A5CB" w14:textId="77777777" w:rsidR="008A44DB" w:rsidRPr="008A44DB" w:rsidRDefault="008A44DB" w:rsidP="008A44DB">
            <w:pPr>
              <w:keepNext/>
              <w:keepLines/>
              <w:tabs>
                <w:tab w:val="right" w:leader="dot" w:pos="4156"/>
              </w:tabs>
              <w:spacing w:before="0" w:after="0"/>
              <w:ind w:left="171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A44DB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w tym na wynajem</w:t>
            </w:r>
            <w:r w:rsidRPr="008A44DB"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2008" w:type="dxa"/>
            <w:vAlign w:val="center"/>
          </w:tcPr>
          <w:p w14:paraId="587061D1" w14:textId="47298545" w:rsidR="008A44DB" w:rsidRPr="008A44DB" w:rsidRDefault="00254171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254171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6A657F8A" w14:textId="45F914EB" w:rsidR="008A44DB" w:rsidRPr="008A44DB" w:rsidRDefault="008A44DB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36,8</w:t>
            </w:r>
          </w:p>
        </w:tc>
        <w:tc>
          <w:tcPr>
            <w:tcW w:w="1761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52DAD18F" w14:textId="7C68E1E9" w:rsidR="008A44DB" w:rsidRPr="008A44DB" w:rsidRDefault="00E35357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E35357">
              <w:rPr>
                <w:color w:val="000000" w:themeColor="text1"/>
                <w:sz w:val="16"/>
                <w:szCs w:val="16"/>
              </w:rPr>
              <w:t>130,6</w:t>
            </w:r>
          </w:p>
        </w:tc>
      </w:tr>
      <w:tr w:rsidR="008A44DB" w:rsidRPr="008A44DB" w14:paraId="48339A1B" w14:textId="77777777" w:rsidTr="008A44DB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182CA512" w14:textId="77777777" w:rsidR="008A44DB" w:rsidRPr="008A44DB" w:rsidRDefault="008A44DB" w:rsidP="008A44DB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8A44DB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2008" w:type="dxa"/>
            <w:vAlign w:val="center"/>
          </w:tcPr>
          <w:p w14:paraId="03C572E4" w14:textId="6A2EFB65" w:rsidR="008A44DB" w:rsidRPr="008A44DB" w:rsidRDefault="008A44DB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48D55604" w14:textId="0650D32E" w:rsidR="008A44DB" w:rsidRPr="008A44DB" w:rsidRDefault="008A44DB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306,2</w:t>
            </w:r>
          </w:p>
        </w:tc>
        <w:tc>
          <w:tcPr>
            <w:tcW w:w="1761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B51B257" w14:textId="2A65C227" w:rsidR="008A44DB" w:rsidRPr="008A44DB" w:rsidRDefault="00E35357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35357">
              <w:rPr>
                <w:color w:val="000000" w:themeColor="text1"/>
                <w:sz w:val="16"/>
                <w:szCs w:val="16"/>
              </w:rPr>
              <w:t>162,1</w:t>
            </w:r>
          </w:p>
        </w:tc>
      </w:tr>
      <w:tr w:rsidR="008A44DB" w:rsidRPr="008A44DB" w14:paraId="4E809E83" w14:textId="77777777" w:rsidTr="008A44DB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7EABEA3A" w14:textId="77777777" w:rsidR="008A44DB" w:rsidRPr="008A44DB" w:rsidRDefault="008A44DB" w:rsidP="008A44DB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A44DB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2008" w:type="dxa"/>
            <w:tcBorders>
              <w:bottom w:val="single" w:sz="4" w:space="0" w:color="212492"/>
            </w:tcBorders>
            <w:vAlign w:val="center"/>
          </w:tcPr>
          <w:p w14:paraId="2445ACE8" w14:textId="42B199BC" w:rsidR="008A44DB" w:rsidRPr="008A44DB" w:rsidRDefault="008A44DB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2007013F" w14:textId="08AEC84F" w:rsidR="008A44DB" w:rsidRPr="008A44DB" w:rsidRDefault="008A44DB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13,9</w:t>
            </w:r>
          </w:p>
        </w:tc>
        <w:tc>
          <w:tcPr>
            <w:tcW w:w="1761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47C793DF" w14:textId="0A5030B0" w:rsidR="008A44DB" w:rsidRPr="008A44DB" w:rsidRDefault="00E35357" w:rsidP="008A44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35357">
              <w:rPr>
                <w:color w:val="000000" w:themeColor="text1"/>
                <w:sz w:val="16"/>
                <w:szCs w:val="16"/>
              </w:rPr>
              <w:t>6,3</w:t>
            </w:r>
          </w:p>
        </w:tc>
      </w:tr>
      <w:tr w:rsidR="008A44DB" w:rsidRPr="008A44DB" w14:paraId="59C0A08D" w14:textId="77777777" w:rsidTr="008A44DB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374DF2E3" w14:textId="77777777" w:rsidR="008A44DB" w:rsidRPr="008A44DB" w:rsidRDefault="008A44DB" w:rsidP="008A44DB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A44DB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2008" w:type="dxa"/>
            <w:tcBorders>
              <w:bottom w:val="single" w:sz="4" w:space="0" w:color="212492"/>
            </w:tcBorders>
            <w:vAlign w:val="center"/>
          </w:tcPr>
          <w:p w14:paraId="446BCC80" w14:textId="01C2F67D" w:rsidR="008A44DB" w:rsidRPr="008A44DB" w:rsidRDefault="008A44DB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769122C3" w14:textId="2420A4C9" w:rsidR="008A44DB" w:rsidRPr="008A44DB" w:rsidRDefault="008A44DB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72,0</w:t>
            </w:r>
          </w:p>
        </w:tc>
        <w:tc>
          <w:tcPr>
            <w:tcW w:w="1761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8EF91FE" w14:textId="0BDF4C59" w:rsidR="008A44DB" w:rsidRPr="008A44DB" w:rsidRDefault="00E35357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E35357">
              <w:rPr>
                <w:color w:val="000000" w:themeColor="text1"/>
                <w:sz w:val="16"/>
                <w:szCs w:val="16"/>
              </w:rPr>
              <w:t>34,7</w:t>
            </w:r>
          </w:p>
        </w:tc>
      </w:tr>
      <w:tr w:rsidR="008A44DB" w:rsidRPr="008A44DB" w14:paraId="18AC1511" w14:textId="77777777" w:rsidTr="008A44DB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nil"/>
            </w:tcBorders>
            <w:vAlign w:val="center"/>
          </w:tcPr>
          <w:p w14:paraId="4DDC34E9" w14:textId="77777777" w:rsidR="008A44DB" w:rsidRPr="008A44DB" w:rsidRDefault="008A44DB" w:rsidP="008A44DB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A44DB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2008" w:type="dxa"/>
            <w:tcBorders>
              <w:top w:val="single" w:sz="4" w:space="0" w:color="212492"/>
              <w:bottom w:val="nil"/>
            </w:tcBorders>
            <w:vAlign w:val="center"/>
          </w:tcPr>
          <w:p w14:paraId="13E6B9DF" w14:textId="3E2381F0" w:rsidR="008A44DB" w:rsidRPr="008A44DB" w:rsidRDefault="008A44DB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A44DB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top w:val="single" w:sz="4" w:space="0" w:color="212492"/>
              <w:bottom w:val="nil"/>
              <w:right w:val="single" w:sz="4" w:space="0" w:color="auto"/>
            </w:tcBorders>
            <w:vAlign w:val="center"/>
          </w:tcPr>
          <w:p w14:paraId="157550B8" w14:textId="4A4352CD" w:rsidR="008A44DB" w:rsidRPr="008A44DB" w:rsidRDefault="007C2031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61" w:type="dxa"/>
            <w:tcBorders>
              <w:top w:val="single" w:sz="4" w:space="0" w:color="212492"/>
              <w:bottom w:val="nil"/>
              <w:right w:val="nil"/>
            </w:tcBorders>
            <w:vAlign w:val="center"/>
          </w:tcPr>
          <w:p w14:paraId="50A658DE" w14:textId="21DBBC4A" w:rsidR="008A44DB" w:rsidRPr="008A44DB" w:rsidRDefault="007C2031" w:rsidP="008A44DB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0B3475F2" w14:textId="0A0AD542" w:rsidR="004D06AC" w:rsidRPr="008F0617" w:rsidRDefault="004D06AC" w:rsidP="008F0617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9A6B72">
        <w:rPr>
          <w:rFonts w:ascii="Fira Sans SemiBold" w:hAnsi="Fira Sans SemiBold"/>
          <w:color w:val="001D77"/>
          <w:szCs w:val="19"/>
        </w:rPr>
        <w:lastRenderedPageBreak/>
        <w:t>Mieszkania, na których budowę wydano pozwolenia lub dokonano zgłoszenia z projektem budowlanym</w:t>
      </w:r>
    </w:p>
    <w:p w14:paraId="1F58458F" w14:textId="77777777" w:rsidR="000565D8" w:rsidRDefault="00C17251" w:rsidP="00A52737">
      <w:pPr>
        <w:spacing w:before="0" w:after="0"/>
        <w:rPr>
          <w:shd w:val="clear" w:color="auto" w:fill="FFFFFF"/>
        </w:rPr>
      </w:pPr>
      <w:r w:rsidRPr="004D06A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65456F" wp14:editId="752564C6">
                <wp:simplePos x="0" y="0"/>
                <wp:positionH relativeFrom="page">
                  <wp:posOffset>5762625</wp:posOffset>
                </wp:positionH>
                <wp:positionV relativeFrom="paragraph">
                  <wp:posOffset>4445</wp:posOffset>
                </wp:positionV>
                <wp:extent cx="1710055" cy="119062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511C4" w14:textId="0222A1D2" w:rsidR="007F1316" w:rsidRPr="002F1617" w:rsidRDefault="007F1316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DA0F32">
                              <w:t>Liczba</w:t>
                            </w:r>
                            <w:r w:rsidR="00D95100" w:rsidRPr="00DA0F32">
                              <w:t xml:space="preserve"> mieszkań, na których budowę wydano pozwolenia lub dokonano zgłoszenia </w:t>
                            </w:r>
                            <w:r w:rsidR="004F5A9B" w:rsidRPr="00DA0F32">
                              <w:br/>
                            </w:r>
                            <w:r w:rsidR="00D95100" w:rsidRPr="00DA0F32">
                              <w:t>z projektem budowlanym</w:t>
                            </w:r>
                            <w:r w:rsidR="00E93560" w:rsidRPr="0007222B">
                              <w:t>,</w:t>
                            </w:r>
                            <w:r w:rsidR="00D95100" w:rsidRPr="00DA0F32">
                              <w:t xml:space="preserve"> </w:t>
                            </w:r>
                            <w:r w:rsidR="00857F61">
                              <w:t>zmniejszyła</w:t>
                            </w:r>
                            <w:r w:rsidR="001425F1" w:rsidRPr="002F1617">
                              <w:t xml:space="preserve"> się</w:t>
                            </w:r>
                            <w:r w:rsidR="00CE2C3A" w:rsidRPr="002F1617">
                              <w:t xml:space="preserve"> w </w:t>
                            </w:r>
                            <w:r w:rsidR="00C343F0">
                              <w:t>styczniu</w:t>
                            </w:r>
                            <w:r w:rsidR="00857F61">
                              <w:t xml:space="preserve"> 2020</w:t>
                            </w:r>
                            <w:r w:rsidR="008C1F33" w:rsidRPr="002F1617">
                              <w:t xml:space="preserve"> r</w:t>
                            </w:r>
                            <w:r w:rsidR="002F1617">
                              <w:t>.</w:t>
                            </w:r>
                            <w:r w:rsidR="00857F61">
                              <w:t xml:space="preserve"> o 11,0</w:t>
                            </w:r>
                            <w:r w:rsidR="00B43D8E" w:rsidRPr="002F1617">
                              <w:t>% r/r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5456F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32" type="#_x0000_t202" style="position:absolute;margin-left:453.75pt;margin-top:.35pt;width:134.6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" filled="f" stroked="f" strokeweight=".5pt">
                <v:textbox>
                  <w:txbxContent>
                    <w:p w14:paraId="6FF511C4" w14:textId="0222A1D2" w:rsidR="007F1316" w:rsidRPr="002F1617" w:rsidRDefault="007F1316" w:rsidP="00296B74">
                      <w:pPr>
                        <w:pStyle w:val="tekstzboku"/>
                        <w:spacing w:before="0"/>
                        <w:ind w:left="-142"/>
                      </w:pPr>
                      <w:r w:rsidRPr="00DA0F32">
                        <w:t>Liczba</w:t>
                      </w:r>
                      <w:r w:rsidR="00D95100" w:rsidRPr="00DA0F32">
                        <w:t xml:space="preserve"> mieszkań, na których budowę wydano pozwolenia lub dokonano zgłoszenia </w:t>
                      </w:r>
                      <w:r w:rsidR="004F5A9B" w:rsidRPr="00DA0F32">
                        <w:br/>
                      </w:r>
                      <w:r w:rsidR="00D95100" w:rsidRPr="00DA0F32">
                        <w:t>z projektem budowlanym</w:t>
                      </w:r>
                      <w:r w:rsidR="00E93560" w:rsidRPr="0007222B">
                        <w:t>,</w:t>
                      </w:r>
                      <w:r w:rsidR="00D95100" w:rsidRPr="00DA0F32">
                        <w:t xml:space="preserve"> </w:t>
                      </w:r>
                      <w:r w:rsidR="00857F61">
                        <w:t>zmniejszyła</w:t>
                      </w:r>
                      <w:r w:rsidR="001425F1" w:rsidRPr="002F1617">
                        <w:t xml:space="preserve"> się</w:t>
                      </w:r>
                      <w:r w:rsidR="00CE2C3A" w:rsidRPr="002F1617">
                        <w:t xml:space="preserve"> w </w:t>
                      </w:r>
                      <w:r w:rsidR="00C343F0">
                        <w:t>styczniu</w:t>
                      </w:r>
                      <w:r w:rsidR="00857F61">
                        <w:t xml:space="preserve"> 2020</w:t>
                      </w:r>
                      <w:r w:rsidR="008C1F33" w:rsidRPr="002F1617">
                        <w:t xml:space="preserve"> r</w:t>
                      </w:r>
                      <w:r w:rsidR="002F1617">
                        <w:t>.</w:t>
                      </w:r>
                      <w:r w:rsidR="00857F61">
                        <w:t xml:space="preserve"> o 11,0</w:t>
                      </w:r>
                      <w:r w:rsidR="00B43D8E" w:rsidRPr="002F1617">
                        <w:t>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35F" w:rsidRPr="00DA0F32">
        <w:rPr>
          <w:shd w:val="clear" w:color="auto" w:fill="FFFFFF"/>
        </w:rPr>
        <w:t xml:space="preserve">W </w:t>
      </w:r>
      <w:r w:rsidR="00E35357">
        <w:rPr>
          <w:shd w:val="clear" w:color="auto" w:fill="FFFFFF"/>
        </w:rPr>
        <w:t>styczniu 2020</w:t>
      </w:r>
      <w:r w:rsidR="00AD3D25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>r. wydano pozwolenia lub dokonano zgłoszenia</w:t>
      </w:r>
      <w:r w:rsidR="00F35845">
        <w:rPr>
          <w:shd w:val="clear" w:color="auto" w:fill="FFFFFF"/>
        </w:rPr>
        <w:t xml:space="preserve"> budowy</w:t>
      </w:r>
      <w:r w:rsidR="007E1B1D">
        <w:rPr>
          <w:shd w:val="clear" w:color="auto" w:fill="FFFFFF"/>
        </w:rPr>
        <w:t xml:space="preserve"> </w:t>
      </w:r>
      <w:r w:rsidR="00B91AC6">
        <w:rPr>
          <w:shd w:val="clear" w:color="auto" w:fill="FFFFFF"/>
        </w:rPr>
        <w:t>18,4</w:t>
      </w:r>
      <w:r w:rsidR="007E1B1D">
        <w:rPr>
          <w:shd w:val="clear" w:color="auto" w:fill="FFFFFF"/>
        </w:rPr>
        <w:t> </w:t>
      </w:r>
      <w:r w:rsidR="00507D35" w:rsidRPr="00DA0F32">
        <w:rPr>
          <w:shd w:val="clear" w:color="auto" w:fill="FFFFFF"/>
        </w:rPr>
        <w:t xml:space="preserve">tys. </w:t>
      </w:r>
      <w:r w:rsidR="000565D8">
        <w:rPr>
          <w:shd w:val="clear" w:color="auto" w:fill="FFFFFF"/>
        </w:rPr>
        <w:t>mieszkań, tj. </w:t>
      </w:r>
      <w:r w:rsidR="00350F22">
        <w:rPr>
          <w:shd w:val="clear" w:color="auto" w:fill="FFFFFF"/>
        </w:rPr>
        <w:t xml:space="preserve">o </w:t>
      </w:r>
      <w:r w:rsidR="00B91AC6">
        <w:rPr>
          <w:shd w:val="clear" w:color="auto" w:fill="FFFFFF"/>
        </w:rPr>
        <w:t>11,0</w:t>
      </w:r>
      <w:r w:rsidR="00A0335F" w:rsidRPr="00DA0F32">
        <w:rPr>
          <w:shd w:val="clear" w:color="auto" w:fill="FFFFFF"/>
        </w:rPr>
        <w:t xml:space="preserve">% </w:t>
      </w:r>
      <w:r w:rsidR="00B91AC6">
        <w:rPr>
          <w:shd w:val="clear" w:color="auto" w:fill="FFFFFF"/>
        </w:rPr>
        <w:t>mniej</w:t>
      </w:r>
      <w:r w:rsidR="00BC207E" w:rsidRPr="00DA0F32">
        <w:rPr>
          <w:shd w:val="clear" w:color="auto" w:fill="FFFFFF"/>
        </w:rPr>
        <w:t xml:space="preserve"> niż w analogicznym </w:t>
      </w:r>
      <w:r w:rsidR="00B91AC6">
        <w:rPr>
          <w:shd w:val="clear" w:color="auto" w:fill="FFFFFF"/>
        </w:rPr>
        <w:t>miesiącu</w:t>
      </w:r>
      <w:r w:rsidR="00BC207E" w:rsidRPr="00DA0F32">
        <w:rPr>
          <w:shd w:val="clear" w:color="auto" w:fill="FFFFFF"/>
        </w:rPr>
        <w:t xml:space="preserve"> </w:t>
      </w:r>
      <w:r w:rsidR="007162C8" w:rsidRPr="00DA0F32">
        <w:rPr>
          <w:shd w:val="clear" w:color="auto" w:fill="FFFFFF"/>
        </w:rPr>
        <w:t>roku</w:t>
      </w:r>
      <w:r w:rsidR="00B91AC6">
        <w:rPr>
          <w:shd w:val="clear" w:color="auto" w:fill="FFFFFF"/>
        </w:rPr>
        <w:t xml:space="preserve"> 2019</w:t>
      </w:r>
      <w:r w:rsidR="007162C8" w:rsidRPr="00DA0F32">
        <w:rPr>
          <w:shd w:val="clear" w:color="auto" w:fill="FFFFFF"/>
        </w:rPr>
        <w:t xml:space="preserve">. </w:t>
      </w:r>
      <w:r w:rsidR="00A0335F" w:rsidRPr="00DA0F32">
        <w:rPr>
          <w:shd w:val="clear" w:color="auto" w:fill="FFFFFF"/>
        </w:rPr>
        <w:t>Pozwolenia na bud</w:t>
      </w:r>
      <w:r w:rsidR="006F4DB5" w:rsidRPr="00DA0F32">
        <w:rPr>
          <w:shd w:val="clear" w:color="auto" w:fill="FFFFFF"/>
        </w:rPr>
        <w:t>owę</w:t>
      </w:r>
      <w:r w:rsidR="00EB562E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 xml:space="preserve">największej liczby mieszkań otrzymali </w:t>
      </w:r>
      <w:r w:rsidR="00035886" w:rsidRPr="00035886">
        <w:rPr>
          <w:b/>
          <w:shd w:val="clear" w:color="auto" w:fill="FFFFFF"/>
        </w:rPr>
        <w:t>deweloperzy</w:t>
      </w:r>
      <w:r w:rsidR="00434C10" w:rsidRPr="00035886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B91AC6">
        <w:rPr>
          <w:shd w:val="clear" w:color="auto" w:fill="FFFFFF"/>
        </w:rPr>
        <w:t>11,5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) </w:t>
      </w:r>
      <w:r w:rsidR="00A0335F" w:rsidRPr="00DA0F32">
        <w:rPr>
          <w:shd w:val="clear" w:color="auto" w:fill="FFFFFF"/>
        </w:rPr>
        <w:t xml:space="preserve">oraz </w:t>
      </w:r>
      <w:r w:rsidR="00A0335F" w:rsidRPr="004B7867">
        <w:rPr>
          <w:shd w:val="clear" w:color="auto" w:fill="FFFFFF"/>
        </w:rPr>
        <w:t>inwestorzy</w:t>
      </w:r>
      <w:r w:rsidR="00A0335F" w:rsidRPr="00DA0F32">
        <w:rPr>
          <w:b/>
          <w:shd w:val="clear" w:color="auto" w:fill="FFFFFF"/>
        </w:rPr>
        <w:t xml:space="preserve"> indywidualn</w:t>
      </w:r>
      <w:r w:rsidR="00434C10" w:rsidRPr="00DA0F32">
        <w:rPr>
          <w:b/>
          <w:shd w:val="clear" w:color="auto" w:fill="FFFFFF"/>
        </w:rPr>
        <w:t>i</w:t>
      </w:r>
      <w:r w:rsidR="003531A5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FD1955">
        <w:rPr>
          <w:shd w:val="clear" w:color="auto" w:fill="FFFFFF"/>
        </w:rPr>
        <w:t>6,8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>)</w:t>
      </w:r>
      <w:r w:rsidR="00A01A6B">
        <w:rPr>
          <w:shd w:val="clear" w:color="auto" w:fill="FFFFFF"/>
        </w:rPr>
        <w:t xml:space="preserve">, </w:t>
      </w:r>
    </w:p>
    <w:p w14:paraId="769D71DE" w14:textId="4D765F89" w:rsidR="00833D4E" w:rsidRPr="00A54EC5" w:rsidRDefault="00A01A6B" w:rsidP="00A52737">
      <w:pPr>
        <w:spacing w:before="0" w:after="0"/>
        <w:rPr>
          <w:b/>
          <w:shd w:val="clear" w:color="auto" w:fill="FFFFFF"/>
        </w:rPr>
      </w:pPr>
      <w:r>
        <w:rPr>
          <w:shd w:val="clear" w:color="auto" w:fill="FFFFFF"/>
        </w:rPr>
        <w:t xml:space="preserve">tj. </w:t>
      </w:r>
      <w:r w:rsidR="00B91AC6">
        <w:rPr>
          <w:shd w:val="clear" w:color="auto" w:fill="FFFFFF"/>
        </w:rPr>
        <w:t>odpowiednio o 17,8</w:t>
      </w:r>
      <w:r w:rsidR="00FD1955">
        <w:rPr>
          <w:shd w:val="clear" w:color="auto" w:fill="FFFFFF"/>
        </w:rPr>
        <w:t>%</w:t>
      </w:r>
      <w:r w:rsidR="00B91AC6">
        <w:rPr>
          <w:shd w:val="clear" w:color="auto" w:fill="FFFFFF"/>
        </w:rPr>
        <w:t xml:space="preserve"> mniej</w:t>
      </w:r>
      <w:r w:rsidR="00FD1955">
        <w:rPr>
          <w:shd w:val="clear" w:color="auto" w:fill="FFFFFF"/>
        </w:rPr>
        <w:t xml:space="preserve"> i </w:t>
      </w:r>
      <w:r w:rsidR="00B91AC6">
        <w:rPr>
          <w:shd w:val="clear" w:color="auto" w:fill="FFFFFF"/>
        </w:rPr>
        <w:t>13,0</w:t>
      </w:r>
      <w:r w:rsidR="003531A5" w:rsidRPr="003531A5">
        <w:rPr>
          <w:shd w:val="clear" w:color="auto" w:fill="FFFFFF"/>
        </w:rPr>
        <w:t>%</w:t>
      </w:r>
      <w:r w:rsidR="00B43D8E">
        <w:rPr>
          <w:shd w:val="clear" w:color="auto" w:fill="FFFFFF"/>
        </w:rPr>
        <w:t xml:space="preserve"> więcej</w:t>
      </w:r>
      <w:r w:rsidR="003531A5">
        <w:rPr>
          <w:shd w:val="clear" w:color="auto" w:fill="FFFFFF"/>
        </w:rPr>
        <w:t xml:space="preserve"> niż w </w:t>
      </w:r>
      <w:r w:rsidR="00B91AC6">
        <w:rPr>
          <w:shd w:val="clear" w:color="auto" w:fill="FFFFFF"/>
        </w:rPr>
        <w:t>styczniu 2019</w:t>
      </w:r>
      <w:r w:rsidR="007E1B1D">
        <w:rPr>
          <w:shd w:val="clear" w:color="auto" w:fill="FFFFFF"/>
        </w:rPr>
        <w:t> </w:t>
      </w:r>
      <w:r w:rsidR="00F04030">
        <w:rPr>
          <w:shd w:val="clear" w:color="auto" w:fill="FFFFFF"/>
        </w:rPr>
        <w:t>r</w:t>
      </w:r>
      <w:r w:rsidR="00A0335F" w:rsidRPr="00DA0F32">
        <w:rPr>
          <w:shd w:val="clear" w:color="auto" w:fill="FFFFFF"/>
        </w:rPr>
        <w:t>.</w:t>
      </w:r>
      <w:r w:rsidR="00A0335F" w:rsidRPr="00DA0F32">
        <w:rPr>
          <w:b/>
          <w:shd w:val="clear" w:color="auto" w:fill="FFFFFF"/>
        </w:rPr>
        <w:t xml:space="preserve"> </w:t>
      </w:r>
      <w:r w:rsidR="00BF5111">
        <w:rPr>
          <w:shd w:val="clear" w:color="auto" w:fill="FFFFFF"/>
        </w:rPr>
        <w:t>Łącznie w </w:t>
      </w:r>
      <w:r w:rsidR="0094417D" w:rsidRPr="00DA0F32">
        <w:rPr>
          <w:shd w:val="clear" w:color="auto" w:fill="FFFFFF"/>
        </w:rPr>
        <w:t xml:space="preserve">ramach tych </w:t>
      </w:r>
      <w:r w:rsidR="005C764C" w:rsidRPr="00DA0F32">
        <w:rPr>
          <w:shd w:val="clear" w:color="auto" w:fill="FFFFFF"/>
        </w:rPr>
        <w:t xml:space="preserve">form budownictwa </w:t>
      </w:r>
      <w:r w:rsidR="009F0AF2" w:rsidRPr="00DA0F32">
        <w:rPr>
          <w:shd w:val="clear" w:color="auto" w:fill="FFFFFF"/>
        </w:rPr>
        <w:t>otrzymano pozwolenia lub dokonano</w:t>
      </w:r>
      <w:r w:rsidR="005C764C" w:rsidRPr="00DA0F32">
        <w:rPr>
          <w:shd w:val="clear" w:color="auto" w:fill="FFFFFF"/>
        </w:rPr>
        <w:t xml:space="preserve"> </w:t>
      </w:r>
      <w:r w:rsidR="00277F85" w:rsidRPr="00DA0F32">
        <w:rPr>
          <w:shd w:val="clear" w:color="auto" w:fill="FFFFFF"/>
        </w:rPr>
        <w:t>zgłoszenia</w:t>
      </w:r>
      <w:r w:rsidR="005C764C" w:rsidRPr="00DA0F32">
        <w:rPr>
          <w:shd w:val="clear" w:color="auto" w:fill="FFFFFF"/>
        </w:rPr>
        <w:t xml:space="preserve"> budowy </w:t>
      </w:r>
      <w:r w:rsidR="007E1B1D">
        <w:rPr>
          <w:shd w:val="clear" w:color="auto" w:fill="FFFFFF"/>
        </w:rPr>
        <w:t>z </w:t>
      </w:r>
      <w:r w:rsidR="00187A74">
        <w:rPr>
          <w:shd w:val="clear" w:color="auto" w:fill="FFFFFF"/>
        </w:rPr>
        <w:t>projektem budowlanym</w:t>
      </w:r>
      <w:r w:rsidR="00A01B2E">
        <w:rPr>
          <w:shd w:val="clear" w:color="auto" w:fill="FFFFFF"/>
        </w:rPr>
        <w:t xml:space="preserve"> dla</w:t>
      </w:r>
      <w:r w:rsidR="00B91AC6">
        <w:rPr>
          <w:shd w:val="clear" w:color="auto" w:fill="FFFFFF"/>
        </w:rPr>
        <w:t xml:space="preserve"> 99</w:t>
      </w:r>
      <w:r w:rsidR="00FD1955">
        <w:rPr>
          <w:shd w:val="clear" w:color="auto" w:fill="FFFFFF"/>
        </w:rPr>
        <w:t>,4</w:t>
      </w:r>
      <w:r w:rsidR="005C764C" w:rsidRPr="00DA0F32">
        <w:rPr>
          <w:shd w:val="clear" w:color="auto" w:fill="FFFFFF"/>
        </w:rPr>
        <w:t>% ogółu mieszkań</w:t>
      </w:r>
      <w:r w:rsidR="001753B5" w:rsidRPr="00DA0F32">
        <w:rPr>
          <w:shd w:val="clear" w:color="auto" w:fill="FFFFFF"/>
        </w:rPr>
        <w:t>.</w:t>
      </w:r>
      <w:r w:rsidR="001753B5" w:rsidRPr="00DA0F32">
        <w:rPr>
          <w:b/>
          <w:shd w:val="clear" w:color="auto" w:fill="FFFFFF"/>
        </w:rPr>
        <w:t xml:space="preserve"> </w:t>
      </w:r>
      <w:r w:rsidR="00A52737">
        <w:rPr>
          <w:shd w:val="clear" w:color="auto" w:fill="FFFFFF"/>
        </w:rPr>
        <w:t>Mniej</w:t>
      </w:r>
      <w:r w:rsidR="001753B5" w:rsidRPr="007D1F83">
        <w:rPr>
          <w:shd w:val="clear" w:color="auto" w:fill="FFFFFF"/>
        </w:rPr>
        <w:t xml:space="preserve"> </w:t>
      </w:r>
      <w:r w:rsidR="00C343F0">
        <w:rPr>
          <w:shd w:val="clear" w:color="auto" w:fill="FFFFFF"/>
        </w:rPr>
        <w:t xml:space="preserve">niż w styczniu </w:t>
      </w:r>
      <w:r w:rsidR="00B91AC6">
        <w:rPr>
          <w:shd w:val="clear" w:color="auto" w:fill="FFFFFF"/>
        </w:rPr>
        <w:t>2019</w:t>
      </w:r>
      <w:r w:rsidR="006631D9">
        <w:rPr>
          <w:shd w:val="clear" w:color="auto" w:fill="FFFFFF"/>
        </w:rPr>
        <w:t xml:space="preserve"> r.</w:t>
      </w:r>
      <w:r w:rsidR="00CE2C3A">
        <w:rPr>
          <w:shd w:val="clear" w:color="auto" w:fill="FFFFFF"/>
        </w:rPr>
        <w:t xml:space="preserve"> </w:t>
      </w:r>
      <w:r w:rsidR="001753B5" w:rsidRPr="00DA0F32">
        <w:rPr>
          <w:shd w:val="clear" w:color="auto" w:fill="FFFFFF"/>
        </w:rPr>
        <w:t>odnotowano mieszkań</w:t>
      </w:r>
      <w:r w:rsidR="001753B5" w:rsidRPr="0007222B">
        <w:rPr>
          <w:shd w:val="clear" w:color="auto" w:fill="FFFFFF"/>
        </w:rPr>
        <w:t>, na których budowę wydano pozw</w:t>
      </w:r>
      <w:r w:rsidR="00756B32" w:rsidRPr="0007222B">
        <w:rPr>
          <w:shd w:val="clear" w:color="auto" w:fill="FFFFFF"/>
        </w:rPr>
        <w:t xml:space="preserve">olenia lub dokonano zgłoszenia </w:t>
      </w:r>
      <w:r w:rsidR="001753B5" w:rsidRPr="0007222B">
        <w:rPr>
          <w:shd w:val="clear" w:color="auto" w:fill="FFFFFF"/>
        </w:rPr>
        <w:t xml:space="preserve">z projektem budowlanym </w:t>
      </w:r>
      <w:r w:rsidR="000565D8">
        <w:rPr>
          <w:shd w:val="clear" w:color="auto" w:fill="FFFFFF"/>
        </w:rPr>
        <w:t>w </w:t>
      </w:r>
      <w:r w:rsidR="001753B5" w:rsidRPr="00DA0F32">
        <w:rPr>
          <w:shd w:val="clear" w:color="auto" w:fill="FFFFFF"/>
        </w:rPr>
        <w:t>budownictwie</w:t>
      </w:r>
      <w:r w:rsidR="001753B5" w:rsidRPr="00DA0F32">
        <w:rPr>
          <w:b/>
          <w:shd w:val="clear" w:color="auto" w:fill="FFFFFF"/>
        </w:rPr>
        <w:t xml:space="preserve"> spółdzielczym </w:t>
      </w:r>
      <w:r w:rsidR="001753B5" w:rsidRPr="00DA0F32">
        <w:rPr>
          <w:shd w:val="clear" w:color="auto" w:fill="FFFFFF"/>
        </w:rPr>
        <w:t>(</w:t>
      </w:r>
      <w:r w:rsidR="00B91AC6">
        <w:rPr>
          <w:shd w:val="clear" w:color="auto" w:fill="FFFFFF"/>
        </w:rPr>
        <w:t>4</w:t>
      </w:r>
      <w:r w:rsidR="00994BA3">
        <w:rPr>
          <w:shd w:val="clear" w:color="auto" w:fill="FFFFFF"/>
        </w:rPr>
        <w:t xml:space="preserve"> </w:t>
      </w:r>
      <w:r w:rsidR="00B91AC6">
        <w:rPr>
          <w:shd w:val="clear" w:color="auto" w:fill="FFFFFF"/>
        </w:rPr>
        <w:t>mieszkania</w:t>
      </w:r>
      <w:r w:rsidR="001753B5" w:rsidRPr="007D1F83">
        <w:rPr>
          <w:shd w:val="clear" w:color="auto" w:fill="FFFFFF"/>
        </w:rPr>
        <w:t xml:space="preserve"> </w:t>
      </w:r>
      <w:r w:rsidR="00A0335F" w:rsidRPr="007D1F83">
        <w:rPr>
          <w:shd w:val="clear" w:color="auto" w:fill="FFFFFF"/>
        </w:rPr>
        <w:t xml:space="preserve">wobec </w:t>
      </w:r>
      <w:r w:rsidR="00B91AC6">
        <w:rPr>
          <w:shd w:val="clear" w:color="auto" w:fill="FFFFFF"/>
        </w:rPr>
        <w:t>40</w:t>
      </w:r>
      <w:r w:rsidR="001753B5" w:rsidRPr="00DA0F32">
        <w:rPr>
          <w:shd w:val="clear" w:color="auto" w:fill="FFFFFF"/>
        </w:rPr>
        <w:t>)</w:t>
      </w:r>
      <w:r w:rsidR="00A0335F" w:rsidRPr="00DA0F32">
        <w:rPr>
          <w:b/>
          <w:shd w:val="clear" w:color="auto" w:fill="FFFFFF"/>
        </w:rPr>
        <w:t xml:space="preserve"> </w:t>
      </w:r>
      <w:r w:rsidR="00A52737">
        <w:rPr>
          <w:shd w:val="clear" w:color="auto" w:fill="FFFFFF"/>
        </w:rPr>
        <w:t xml:space="preserve">oraz </w:t>
      </w:r>
      <w:r w:rsidR="001753B5" w:rsidRPr="00B14E90">
        <w:rPr>
          <w:shd w:val="clear" w:color="auto" w:fill="FFFFFF"/>
        </w:rPr>
        <w:t>w</w:t>
      </w:r>
      <w:r w:rsidR="001753B5" w:rsidRPr="00DA0F32">
        <w:rPr>
          <w:b/>
          <w:shd w:val="clear" w:color="auto" w:fill="FFFFFF"/>
        </w:rPr>
        <w:t xml:space="preserve"> </w:t>
      </w:r>
      <w:r w:rsidR="00A0335F" w:rsidRPr="00DA0F32">
        <w:rPr>
          <w:b/>
          <w:shd w:val="clear" w:color="auto" w:fill="FFFFFF"/>
        </w:rPr>
        <w:t>p</w:t>
      </w:r>
      <w:r w:rsidR="001753B5" w:rsidRPr="00DA0F32">
        <w:rPr>
          <w:b/>
          <w:shd w:val="clear" w:color="auto" w:fill="FFFFFF"/>
        </w:rPr>
        <w:t xml:space="preserve">ozostałych formach </w:t>
      </w:r>
      <w:r w:rsidR="001753B5" w:rsidRPr="00DA0F32">
        <w:rPr>
          <w:shd w:val="clear" w:color="auto" w:fill="FFFFFF"/>
        </w:rPr>
        <w:t>budownictwa</w:t>
      </w:r>
      <w:r w:rsidR="001425F1">
        <w:rPr>
          <w:shd w:val="clear" w:color="auto" w:fill="FFFFFF"/>
        </w:rPr>
        <w:t xml:space="preserve"> </w:t>
      </w:r>
      <w:r w:rsidR="00A52737">
        <w:rPr>
          <w:shd w:val="clear" w:color="auto" w:fill="FFFFFF"/>
        </w:rPr>
        <w:t>(</w:t>
      </w:r>
      <w:r w:rsidR="00B91AC6">
        <w:rPr>
          <w:shd w:val="clear" w:color="auto" w:fill="FFFFFF"/>
        </w:rPr>
        <w:t>103</w:t>
      </w:r>
      <w:r w:rsidR="00FD1955">
        <w:rPr>
          <w:shd w:val="clear" w:color="auto" w:fill="FFFFFF"/>
        </w:rPr>
        <w:t xml:space="preserve"> </w:t>
      </w:r>
      <w:r w:rsidR="00A52737">
        <w:rPr>
          <w:shd w:val="clear" w:color="auto" w:fill="FFFFFF"/>
        </w:rPr>
        <w:t xml:space="preserve">wobec </w:t>
      </w:r>
      <w:r w:rsidR="00B91AC6">
        <w:rPr>
          <w:shd w:val="clear" w:color="auto" w:fill="FFFFFF"/>
        </w:rPr>
        <w:t>628</w:t>
      </w:r>
      <w:r w:rsidR="00A52737">
        <w:rPr>
          <w:shd w:val="clear" w:color="auto" w:fill="FFFFFF"/>
        </w:rPr>
        <w:t>).</w:t>
      </w:r>
    </w:p>
    <w:p w14:paraId="11265141" w14:textId="667883E2" w:rsidR="00EE66D9" w:rsidRPr="004D107E" w:rsidRDefault="00B14E90" w:rsidP="00597DE4">
      <w:pPr>
        <w:keepNext/>
        <w:spacing w:before="240" w:line="240" w:lineRule="auto"/>
        <w:ind w:left="851" w:hanging="851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2</w:t>
      </w:r>
      <w:r w:rsidR="00BB53B6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. Mieszkania, </w:t>
      </w:r>
      <w:r w:rsidR="004D107E"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na których budowę wydano pozwolenia lub dokonano zgłoszenia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 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br/>
      </w:r>
      <w:r w:rsidR="004D107E"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z projektem budowlanym</w:t>
      </w:r>
    </w:p>
    <w:tbl>
      <w:tblPr>
        <w:tblStyle w:val="Siatkatabelijasna23"/>
        <w:tblpPr w:leftFromText="141" w:rightFromText="141" w:vertAnchor="text" w:horzAnchor="margin" w:tblpY="400"/>
        <w:tblW w:w="7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09"/>
        <w:gridCol w:w="2005"/>
        <w:gridCol w:w="1917"/>
        <w:gridCol w:w="1757"/>
      </w:tblGrid>
      <w:tr w:rsidR="00857F61" w:rsidRPr="00857F61" w14:paraId="49BA1554" w14:textId="77777777" w:rsidTr="00310E69">
        <w:trPr>
          <w:trHeight w:val="114"/>
        </w:trPr>
        <w:tc>
          <w:tcPr>
            <w:tcW w:w="2309" w:type="dxa"/>
            <w:vMerge w:val="restart"/>
            <w:tcBorders>
              <w:top w:val="nil"/>
              <w:left w:val="nil"/>
              <w:bottom w:val="single" w:sz="12" w:space="0" w:color="212492"/>
            </w:tcBorders>
            <w:vAlign w:val="center"/>
          </w:tcPr>
          <w:p w14:paraId="169D92F3" w14:textId="4D4D3DE8" w:rsidR="00857F61" w:rsidRPr="00857F61" w:rsidRDefault="00A216F9" w:rsidP="00857F61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A216F9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679" w:type="dxa"/>
            <w:gridSpan w:val="3"/>
            <w:tcBorders>
              <w:top w:val="nil"/>
              <w:bottom w:val="single" w:sz="4" w:space="0" w:color="212492"/>
              <w:right w:val="nil"/>
            </w:tcBorders>
            <w:vAlign w:val="center"/>
          </w:tcPr>
          <w:p w14:paraId="361B207C" w14:textId="29297184" w:rsidR="00857F61" w:rsidRPr="00857F61" w:rsidRDefault="00857F61" w:rsidP="00857F6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I 2020</w:t>
            </w:r>
          </w:p>
        </w:tc>
      </w:tr>
      <w:tr w:rsidR="00857F61" w:rsidRPr="00857F61" w14:paraId="49169889" w14:textId="77777777" w:rsidTr="00DE4108">
        <w:trPr>
          <w:trHeight w:val="20"/>
        </w:trPr>
        <w:tc>
          <w:tcPr>
            <w:tcW w:w="2309" w:type="dxa"/>
            <w:vMerge/>
            <w:tcBorders>
              <w:left w:val="nil"/>
              <w:bottom w:val="single" w:sz="12" w:space="0" w:color="212492"/>
            </w:tcBorders>
            <w:vAlign w:val="center"/>
          </w:tcPr>
          <w:p w14:paraId="02D12105" w14:textId="77777777" w:rsidR="00857F61" w:rsidRPr="00857F61" w:rsidRDefault="00857F61" w:rsidP="00857F61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2BEC66B4" w14:textId="77777777" w:rsidR="00857F61" w:rsidRPr="00857F61" w:rsidRDefault="00857F61" w:rsidP="00857F6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7D203BC1" w14:textId="639338BC" w:rsidR="00857F61" w:rsidRPr="00857F61" w:rsidRDefault="00857F61" w:rsidP="005E55F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I</w:t>
            </w:r>
            <w:r w:rsidR="005E55F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2019</w:t>
            </w:r>
            <w:r w:rsidRPr="00857F61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426F7635" w14:textId="37C92B02" w:rsidR="00857F61" w:rsidRPr="00857F61" w:rsidRDefault="00857F61" w:rsidP="005E55F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XII</w:t>
            </w:r>
            <w:r w:rsidR="005E55F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2019</w:t>
            </w:r>
            <w:r w:rsidRPr="00857F61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857F61" w:rsidRPr="00857F61" w14:paraId="34FED633" w14:textId="77777777" w:rsidTr="00DE4108">
        <w:trPr>
          <w:trHeight w:val="58"/>
        </w:trPr>
        <w:tc>
          <w:tcPr>
            <w:tcW w:w="2309" w:type="dxa"/>
            <w:tcBorders>
              <w:top w:val="single" w:sz="4" w:space="0" w:color="212492"/>
              <w:left w:val="nil"/>
            </w:tcBorders>
            <w:vAlign w:val="center"/>
          </w:tcPr>
          <w:p w14:paraId="02E68BFA" w14:textId="5C59E1D9" w:rsidR="00857F61" w:rsidRPr="00857F61" w:rsidRDefault="00A216F9" w:rsidP="00857F61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216F9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005" w:type="dxa"/>
            <w:tcBorders>
              <w:top w:val="single" w:sz="4" w:space="0" w:color="212492"/>
            </w:tcBorders>
            <w:vAlign w:val="center"/>
          </w:tcPr>
          <w:p w14:paraId="61949EE1" w14:textId="36A0D9D3" w:rsidR="00857F61" w:rsidRPr="00857F61" w:rsidRDefault="00857F61" w:rsidP="00857F6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7F61">
              <w:rPr>
                <w:b/>
                <w:color w:val="000000" w:themeColor="text1"/>
                <w:sz w:val="16"/>
                <w:szCs w:val="16"/>
              </w:rPr>
              <w:t>18 370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1DA00C43" w14:textId="4C09B31D" w:rsidR="00857F61" w:rsidRPr="00857F61" w:rsidRDefault="00857F61" w:rsidP="00857F6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7F61">
              <w:rPr>
                <w:b/>
                <w:color w:val="000000" w:themeColor="text1"/>
                <w:sz w:val="16"/>
                <w:szCs w:val="16"/>
              </w:rPr>
              <w:t>89,0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20032DC0" w14:textId="7264ED32" w:rsidR="00857F61" w:rsidRPr="00857F61" w:rsidRDefault="00857F61" w:rsidP="00857F6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7F61">
              <w:rPr>
                <w:b/>
                <w:color w:val="000000" w:themeColor="text1"/>
                <w:sz w:val="16"/>
                <w:szCs w:val="16"/>
              </w:rPr>
              <w:t>91,4</w:t>
            </w:r>
          </w:p>
        </w:tc>
      </w:tr>
      <w:tr w:rsidR="00857F61" w:rsidRPr="00857F61" w14:paraId="2A3F06BE" w14:textId="77777777" w:rsidTr="00DE4108">
        <w:trPr>
          <w:trHeight w:val="58"/>
        </w:trPr>
        <w:tc>
          <w:tcPr>
            <w:tcW w:w="2309" w:type="dxa"/>
            <w:tcBorders>
              <w:left w:val="nil"/>
            </w:tcBorders>
            <w:vAlign w:val="center"/>
          </w:tcPr>
          <w:p w14:paraId="2F6C25E4" w14:textId="77777777" w:rsidR="00857F61" w:rsidRPr="00857F61" w:rsidRDefault="00857F61" w:rsidP="00857F6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57F61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2005" w:type="dxa"/>
            <w:vAlign w:val="center"/>
          </w:tcPr>
          <w:p w14:paraId="62F65A9E" w14:textId="47778385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6 813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1FFF417B" w14:textId="2B369330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113,0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1E7FDC9C" w14:textId="1C69CC42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</w:tr>
      <w:tr w:rsidR="00857F61" w:rsidRPr="00857F61" w14:paraId="60C60006" w14:textId="77777777" w:rsidTr="00DE4108">
        <w:trPr>
          <w:trHeight w:val="58"/>
        </w:trPr>
        <w:tc>
          <w:tcPr>
            <w:tcW w:w="2309" w:type="dxa"/>
            <w:tcBorders>
              <w:left w:val="nil"/>
            </w:tcBorders>
            <w:vAlign w:val="center"/>
          </w:tcPr>
          <w:p w14:paraId="4EF27818" w14:textId="77777777" w:rsidR="00857F61" w:rsidRPr="00857F61" w:rsidRDefault="00857F61" w:rsidP="00857F6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57F61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2005" w:type="dxa"/>
            <w:vAlign w:val="center"/>
          </w:tcPr>
          <w:p w14:paraId="46F61F17" w14:textId="744F5B56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11 450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6B137E2F" w14:textId="02905435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82,2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65DCC031" w14:textId="15BDCEEE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rFonts w:cs="Arial"/>
                <w:color w:val="000000" w:themeColor="text1"/>
                <w:sz w:val="16"/>
                <w:szCs w:val="16"/>
              </w:rPr>
              <w:t>87,8</w:t>
            </w:r>
          </w:p>
        </w:tc>
      </w:tr>
      <w:tr w:rsidR="00857F61" w:rsidRPr="00857F61" w14:paraId="003B47E0" w14:textId="77777777" w:rsidTr="00DE4108">
        <w:trPr>
          <w:trHeight w:val="58"/>
        </w:trPr>
        <w:tc>
          <w:tcPr>
            <w:tcW w:w="2309" w:type="dxa"/>
            <w:tcBorders>
              <w:left w:val="nil"/>
            </w:tcBorders>
            <w:vAlign w:val="center"/>
          </w:tcPr>
          <w:p w14:paraId="26FBD96C" w14:textId="77777777" w:rsidR="00857F61" w:rsidRPr="00857F61" w:rsidRDefault="00857F61" w:rsidP="00857F61">
            <w:pPr>
              <w:keepNext/>
              <w:keepLines/>
              <w:tabs>
                <w:tab w:val="right" w:leader="dot" w:pos="4156"/>
              </w:tabs>
              <w:spacing w:before="0" w:after="0"/>
              <w:ind w:left="29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57F61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2005" w:type="dxa"/>
            <w:vAlign w:val="center"/>
          </w:tcPr>
          <w:p w14:paraId="26D0C5A6" w14:textId="67B4A2F5" w:rsidR="00857F61" w:rsidRPr="00857F61" w:rsidRDefault="00857F61" w:rsidP="00857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323B3ABC" w14:textId="3EC2973F" w:rsidR="00857F61" w:rsidRPr="00857F61" w:rsidRDefault="00857F61" w:rsidP="00857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25491870" w14:textId="6EED0830" w:rsidR="00857F61" w:rsidRPr="00857F61" w:rsidRDefault="007C2031" w:rsidP="00857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857F61" w:rsidRPr="00857F61" w14:paraId="42E43F70" w14:textId="77777777" w:rsidTr="00DE4108">
        <w:trPr>
          <w:trHeight w:val="58"/>
        </w:trPr>
        <w:tc>
          <w:tcPr>
            <w:tcW w:w="2309" w:type="dxa"/>
            <w:tcBorders>
              <w:left w:val="nil"/>
              <w:bottom w:val="single" w:sz="4" w:space="0" w:color="212492"/>
            </w:tcBorders>
            <w:vAlign w:val="center"/>
          </w:tcPr>
          <w:p w14:paraId="7D40FEEA" w14:textId="77777777" w:rsidR="00857F61" w:rsidRPr="00857F61" w:rsidRDefault="00857F61" w:rsidP="00857F61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857F61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2005" w:type="dxa"/>
            <w:tcBorders>
              <w:bottom w:val="single" w:sz="4" w:space="0" w:color="212492"/>
            </w:tcBorders>
            <w:vAlign w:val="center"/>
          </w:tcPr>
          <w:p w14:paraId="41804D19" w14:textId="63378D65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721A8422" w14:textId="559AEBD7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26,5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7E4BF433" w14:textId="756393A6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32,2</w:t>
            </w:r>
          </w:p>
        </w:tc>
      </w:tr>
      <w:tr w:rsidR="00857F61" w:rsidRPr="00857F61" w14:paraId="4F4F0D18" w14:textId="77777777" w:rsidTr="00DE4108">
        <w:trPr>
          <w:trHeight w:val="58"/>
        </w:trPr>
        <w:tc>
          <w:tcPr>
            <w:tcW w:w="2309" w:type="dxa"/>
            <w:tcBorders>
              <w:left w:val="nil"/>
              <w:bottom w:val="single" w:sz="4" w:space="0" w:color="212492"/>
            </w:tcBorders>
            <w:vAlign w:val="center"/>
          </w:tcPr>
          <w:p w14:paraId="49628FB7" w14:textId="77777777" w:rsidR="00857F61" w:rsidRPr="00857F61" w:rsidRDefault="00857F61" w:rsidP="00857F6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57F61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2005" w:type="dxa"/>
            <w:tcBorders>
              <w:bottom w:val="single" w:sz="4" w:space="0" w:color="212492"/>
            </w:tcBorders>
            <w:vAlign w:val="center"/>
          </w:tcPr>
          <w:p w14:paraId="65304C20" w14:textId="75F6560A" w:rsidR="00857F61" w:rsidRPr="00857F61" w:rsidRDefault="00857F6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08E55001" w14:textId="0FA5C6BC" w:rsidR="00857F61" w:rsidRPr="00857F61" w:rsidRDefault="007C203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603AEAD0" w14:textId="7D7454F6" w:rsidR="00857F61" w:rsidRPr="00857F61" w:rsidRDefault="007C2031" w:rsidP="00857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857F61" w:rsidRPr="00857F61" w14:paraId="00535041" w14:textId="77777777" w:rsidTr="00DE4108">
        <w:trPr>
          <w:trHeight w:val="58"/>
        </w:trPr>
        <w:tc>
          <w:tcPr>
            <w:tcW w:w="2309" w:type="dxa"/>
            <w:tcBorders>
              <w:top w:val="single" w:sz="4" w:space="0" w:color="212492"/>
              <w:left w:val="nil"/>
              <w:bottom w:val="nil"/>
            </w:tcBorders>
            <w:vAlign w:val="center"/>
          </w:tcPr>
          <w:p w14:paraId="26B64243" w14:textId="77777777" w:rsidR="00857F61" w:rsidRPr="00857F61" w:rsidRDefault="00857F61" w:rsidP="00857F6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57F61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2005" w:type="dxa"/>
            <w:tcBorders>
              <w:top w:val="single" w:sz="4" w:space="0" w:color="212492"/>
              <w:bottom w:val="nil"/>
            </w:tcBorders>
            <w:vAlign w:val="center"/>
          </w:tcPr>
          <w:p w14:paraId="3918D770" w14:textId="4A38AA6D" w:rsidR="00857F61" w:rsidRPr="00857F61" w:rsidRDefault="00857F61" w:rsidP="00857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57F61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17" w:type="dxa"/>
            <w:tcBorders>
              <w:top w:val="single" w:sz="4" w:space="0" w:color="212492"/>
              <w:bottom w:val="nil"/>
              <w:right w:val="single" w:sz="4" w:space="0" w:color="auto"/>
            </w:tcBorders>
            <w:vAlign w:val="center"/>
          </w:tcPr>
          <w:p w14:paraId="090DA807" w14:textId="731FBBEC" w:rsidR="00857F61" w:rsidRPr="00857F61" w:rsidRDefault="007C2031" w:rsidP="00857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57" w:type="dxa"/>
            <w:tcBorders>
              <w:top w:val="single" w:sz="4" w:space="0" w:color="212492"/>
              <w:bottom w:val="nil"/>
              <w:right w:val="nil"/>
            </w:tcBorders>
            <w:vAlign w:val="center"/>
          </w:tcPr>
          <w:p w14:paraId="6BF3BAD4" w14:textId="7CFA026B" w:rsidR="00857F61" w:rsidRPr="00857F61" w:rsidRDefault="007C2031" w:rsidP="00857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247B42C2" w14:textId="77777777" w:rsidR="00833D4E" w:rsidRDefault="00833D4E" w:rsidP="00336412">
      <w:pPr>
        <w:spacing w:before="240"/>
        <w:rPr>
          <w:noProof/>
          <w:lang w:eastAsia="pl-PL"/>
        </w:rPr>
      </w:pPr>
    </w:p>
    <w:p w14:paraId="27BCC906" w14:textId="77777777" w:rsidR="004D06AC" w:rsidRPr="009A6B72" w:rsidRDefault="004D06AC" w:rsidP="009A6B72">
      <w:pPr>
        <w:rPr>
          <w:rFonts w:ascii="Fira Sans SemiBold" w:hAnsi="Fira Sans SemiBold"/>
          <w:color w:val="001D77"/>
          <w:szCs w:val="19"/>
        </w:rPr>
      </w:pPr>
      <w:r w:rsidRPr="009A6B72">
        <w:rPr>
          <w:rFonts w:ascii="Fira Sans SemiBold" w:hAnsi="Fira Sans SemiBold"/>
          <w:color w:val="001D77"/>
          <w:szCs w:val="19"/>
        </w:rPr>
        <w:t>Mieszkania, których budowę rozpoczęto</w:t>
      </w:r>
    </w:p>
    <w:p w14:paraId="1078ACAC" w14:textId="5B4052F2" w:rsidR="004B628B" w:rsidRDefault="00B7105D" w:rsidP="00C92A18">
      <w:pPr>
        <w:spacing w:before="240"/>
        <w:rPr>
          <w:shd w:val="clear" w:color="auto" w:fill="FFFFFF"/>
        </w:rPr>
      </w:pPr>
      <w:r>
        <w:rPr>
          <w:noProof/>
          <w:lang w:eastAsia="pl-PL"/>
        </w:rPr>
        <w:t xml:space="preserve">W </w:t>
      </w:r>
      <w:r w:rsidR="00857F61">
        <w:rPr>
          <w:noProof/>
          <w:lang w:eastAsia="pl-PL"/>
        </w:rPr>
        <w:t>styczniu 2020</w:t>
      </w:r>
      <w:r w:rsidR="00434C10" w:rsidRPr="00DA0F32">
        <w:rPr>
          <w:noProof/>
          <w:lang w:eastAsia="pl-PL"/>
        </w:rPr>
        <w:t xml:space="preserve"> r. rozpoczęto budowę</w:t>
      </w:r>
      <w:r w:rsidR="00774F4E">
        <w:rPr>
          <w:noProof/>
          <w:lang w:eastAsia="pl-PL"/>
        </w:rPr>
        <w:t xml:space="preserve"> </w:t>
      </w:r>
      <w:r w:rsidR="00857F61">
        <w:rPr>
          <w:noProof/>
          <w:lang w:eastAsia="pl-PL"/>
        </w:rPr>
        <w:t>15,9</w:t>
      </w:r>
      <w:r w:rsidR="00237327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 mieszkań</w:t>
      </w:r>
      <w:r w:rsidR="007162C8" w:rsidRPr="00DA0F32">
        <w:rPr>
          <w:shd w:val="clear" w:color="auto" w:fill="FFFFFF"/>
        </w:rPr>
        <w:t xml:space="preserve">, tj. o </w:t>
      </w:r>
      <w:r w:rsidR="00857F61">
        <w:rPr>
          <w:shd w:val="clear" w:color="auto" w:fill="FFFFFF"/>
        </w:rPr>
        <w:t>18</w:t>
      </w:r>
      <w:r w:rsidR="003C0165" w:rsidRPr="00DA0F32">
        <w:rPr>
          <w:shd w:val="clear" w:color="auto" w:fill="FFFFFF"/>
        </w:rPr>
        <w:t>,</w:t>
      </w:r>
      <w:r w:rsidR="00857F61">
        <w:rPr>
          <w:shd w:val="clear" w:color="auto" w:fill="FFFFFF"/>
        </w:rPr>
        <w:t>2</w:t>
      </w:r>
      <w:r w:rsidR="00195C5A">
        <w:rPr>
          <w:shd w:val="clear" w:color="auto" w:fill="FFFFFF"/>
        </w:rPr>
        <w:t>%</w:t>
      </w:r>
      <w:r w:rsidR="007162C8" w:rsidRPr="00DA0F32">
        <w:rPr>
          <w:shd w:val="clear" w:color="auto" w:fill="FFFFFF"/>
        </w:rPr>
        <w:t xml:space="preserve"> </w:t>
      </w:r>
      <w:r w:rsidR="009821A0">
        <w:rPr>
          <w:shd w:val="clear" w:color="auto" w:fill="FFFFFF"/>
        </w:rPr>
        <w:t>więcej</w:t>
      </w:r>
      <w:r w:rsidR="00B678B9">
        <w:rPr>
          <w:shd w:val="clear" w:color="auto" w:fill="FFFFFF"/>
        </w:rPr>
        <w:t xml:space="preserve"> niż w </w:t>
      </w:r>
      <w:r w:rsidR="002A3E41" w:rsidRPr="00DA0F32">
        <w:rPr>
          <w:shd w:val="clear" w:color="auto" w:fill="FFFFFF"/>
        </w:rPr>
        <w:t>analo</w:t>
      </w:r>
      <w:r w:rsidR="00434C10" w:rsidRPr="00DA0F32">
        <w:rPr>
          <w:shd w:val="clear" w:color="auto" w:fill="FFFFFF"/>
        </w:rPr>
        <w:t xml:space="preserve">gicznym </w:t>
      </w:r>
      <w:r w:rsidR="00857F61">
        <w:rPr>
          <w:shd w:val="clear" w:color="auto" w:fill="FFFFFF"/>
        </w:rPr>
        <w:t>miesiącu</w:t>
      </w:r>
      <w:r w:rsidR="00434C10" w:rsidRPr="00DA0F32">
        <w:rPr>
          <w:shd w:val="clear" w:color="auto" w:fill="FFFFFF"/>
        </w:rPr>
        <w:t xml:space="preserve"> roku</w:t>
      </w:r>
      <w:r w:rsidR="00857F61">
        <w:rPr>
          <w:shd w:val="clear" w:color="auto" w:fill="FFFFFF"/>
        </w:rPr>
        <w:t xml:space="preserve"> 2019</w:t>
      </w:r>
      <w:r w:rsidR="00434C10" w:rsidRPr="00DA0F32">
        <w:rPr>
          <w:shd w:val="clear" w:color="auto" w:fill="FFFFFF"/>
        </w:rPr>
        <w:t xml:space="preserve">. </w:t>
      </w:r>
      <w:r w:rsidR="00434C10" w:rsidRPr="00DA0F32">
        <w:rPr>
          <w:b/>
          <w:shd w:val="clear" w:color="auto" w:fill="FFFFFF"/>
        </w:rPr>
        <w:t>D</w:t>
      </w:r>
      <w:r w:rsidR="00EB562E" w:rsidRPr="00DA0F32">
        <w:rPr>
          <w:b/>
          <w:shd w:val="clear" w:color="auto" w:fill="FFFFFF"/>
        </w:rPr>
        <w:t>eweloperzy</w:t>
      </w:r>
      <w:r w:rsidR="00EB562E" w:rsidRPr="00DA0F32">
        <w:rPr>
          <w:shd w:val="clear" w:color="auto" w:fill="FFFFFF"/>
        </w:rPr>
        <w:t xml:space="preserve"> rozpoczęli budowę </w:t>
      </w:r>
      <w:r w:rsidR="00857F61">
        <w:rPr>
          <w:shd w:val="clear" w:color="auto" w:fill="FFFFFF"/>
        </w:rPr>
        <w:t>10</w:t>
      </w:r>
      <w:r w:rsidR="001B4DCC">
        <w:rPr>
          <w:shd w:val="clear" w:color="auto" w:fill="FFFFFF"/>
        </w:rPr>
        <w:t>,0</w:t>
      </w:r>
      <w:r w:rsidR="00237327" w:rsidRPr="00DA0F32">
        <w:rPr>
          <w:shd w:val="clear" w:color="auto" w:fill="FFFFFF"/>
        </w:rPr>
        <w:t xml:space="preserve"> tys.</w:t>
      </w:r>
      <w:r w:rsidR="008F4B57" w:rsidRPr="00DA0F32">
        <w:rPr>
          <w:shd w:val="clear" w:color="auto" w:fill="FFFFFF"/>
        </w:rPr>
        <w:t xml:space="preserve"> mieszkań,</w:t>
      </w:r>
      <w:r w:rsidR="002F1617">
        <w:rPr>
          <w:shd w:val="clear" w:color="auto" w:fill="FFFFFF"/>
        </w:rPr>
        <w:t xml:space="preserve"> a </w:t>
      </w:r>
      <w:r w:rsidR="00EB562E" w:rsidRPr="004B7867">
        <w:rPr>
          <w:shd w:val="clear" w:color="auto" w:fill="FFFFFF"/>
        </w:rPr>
        <w:t>inwestorzy</w:t>
      </w:r>
      <w:r w:rsidR="00EB562E" w:rsidRPr="00DA0F32">
        <w:rPr>
          <w:b/>
          <w:shd w:val="clear" w:color="auto" w:fill="FFFFFF"/>
        </w:rPr>
        <w:t xml:space="preserve"> indywidualni </w:t>
      </w:r>
      <w:r w:rsidR="00857F61">
        <w:rPr>
          <w:shd w:val="clear" w:color="auto" w:fill="FFFFFF"/>
        </w:rPr>
        <w:t>5,4</w:t>
      </w:r>
      <w:r w:rsidR="00237327" w:rsidRPr="00DA0F32">
        <w:rPr>
          <w:shd w:val="clear" w:color="auto" w:fill="FFFFFF"/>
        </w:rPr>
        <w:t xml:space="preserve"> tys.</w:t>
      </w:r>
      <w:r w:rsidR="00682331" w:rsidRPr="00DA0F32">
        <w:rPr>
          <w:shd w:val="clear" w:color="auto" w:fill="FFFFFF"/>
        </w:rPr>
        <w:t>, czyli</w:t>
      </w:r>
      <w:r w:rsidR="00B36B4D" w:rsidRPr="00DA0F32">
        <w:rPr>
          <w:shd w:val="clear" w:color="auto" w:fill="FFFFFF"/>
        </w:rPr>
        <w:t xml:space="preserve"> </w:t>
      </w:r>
      <w:r w:rsidR="00682331" w:rsidRPr="00DA0F32">
        <w:rPr>
          <w:shd w:val="clear" w:color="auto" w:fill="FFFFFF"/>
        </w:rPr>
        <w:t>ł</w:t>
      </w:r>
      <w:r w:rsidR="00857F61">
        <w:rPr>
          <w:shd w:val="clear" w:color="auto" w:fill="FFFFFF"/>
        </w:rPr>
        <w:t>ącznie 97,2</w:t>
      </w:r>
      <w:r w:rsidR="00B36B4D" w:rsidRPr="00DA0F32">
        <w:rPr>
          <w:shd w:val="clear" w:color="auto" w:fill="FFFFFF"/>
        </w:rPr>
        <w:t xml:space="preserve">% </w:t>
      </w:r>
      <w:r w:rsidR="00DD4E61">
        <w:rPr>
          <w:shd w:val="clear" w:color="auto" w:fill="FFFFFF"/>
        </w:rPr>
        <w:t>og</w:t>
      </w:r>
      <w:r w:rsidR="009821A0">
        <w:rPr>
          <w:shd w:val="clear" w:color="auto" w:fill="FFFFFF"/>
        </w:rPr>
        <w:t>ólnej liczby mieszkań.</w:t>
      </w:r>
      <w:r w:rsidR="00E02918">
        <w:rPr>
          <w:shd w:val="clear" w:color="auto" w:fill="FFFFFF"/>
        </w:rPr>
        <w:t xml:space="preserve"> Z</w:t>
      </w:r>
      <w:r w:rsidR="00F04030">
        <w:rPr>
          <w:shd w:val="clear" w:color="auto" w:fill="FFFFFF"/>
        </w:rPr>
        <w:t>arówno w</w:t>
      </w:r>
      <w:r w:rsidR="002F1617">
        <w:rPr>
          <w:shd w:val="clear" w:color="auto" w:fill="FFFFFF"/>
        </w:rPr>
        <w:t> </w:t>
      </w:r>
      <w:r w:rsidR="00F04030">
        <w:rPr>
          <w:shd w:val="clear" w:color="auto" w:fill="FFFFFF"/>
        </w:rPr>
        <w:t>budownictwie przeznaczonym na sprzedaż lub wynajem</w:t>
      </w:r>
      <w:r w:rsidR="009665D3" w:rsidRPr="004E0216">
        <w:rPr>
          <w:shd w:val="clear" w:color="auto" w:fill="FFFFFF"/>
        </w:rPr>
        <w:t>,</w:t>
      </w:r>
      <w:r w:rsidR="00DD4E61" w:rsidRPr="004E0216">
        <w:rPr>
          <w:shd w:val="clear" w:color="auto" w:fill="FFFFFF"/>
        </w:rPr>
        <w:t xml:space="preserve"> </w:t>
      </w:r>
      <w:r w:rsidR="00DD4E61">
        <w:rPr>
          <w:shd w:val="clear" w:color="auto" w:fill="FFFFFF"/>
        </w:rPr>
        <w:t xml:space="preserve">jak </w:t>
      </w:r>
      <w:r w:rsidR="008E0E06">
        <w:rPr>
          <w:shd w:val="clear" w:color="auto" w:fill="FFFFFF"/>
        </w:rPr>
        <w:t xml:space="preserve">i w budownictwie </w:t>
      </w:r>
      <w:r w:rsidR="00833D4E">
        <w:rPr>
          <w:shd w:val="clear" w:color="auto" w:fill="FFFFFF"/>
        </w:rPr>
        <w:t>indywidualny</w:t>
      </w:r>
      <w:r w:rsidR="00247C71">
        <w:rPr>
          <w:shd w:val="clear" w:color="auto" w:fill="FFFFFF"/>
        </w:rPr>
        <w:t>m</w:t>
      </w:r>
      <w:r w:rsidR="00F04030">
        <w:rPr>
          <w:shd w:val="clear" w:color="auto" w:fill="FFFFFF"/>
        </w:rPr>
        <w:t xml:space="preserve"> </w:t>
      </w:r>
      <w:r w:rsidR="00F04030" w:rsidRPr="00B14B8C">
        <w:rPr>
          <w:shd w:val="clear" w:color="auto" w:fill="FFFFFF"/>
        </w:rPr>
        <w:t xml:space="preserve">odnotowano </w:t>
      </w:r>
      <w:r w:rsidR="00E02918">
        <w:rPr>
          <w:shd w:val="clear" w:color="auto" w:fill="FFFFFF"/>
        </w:rPr>
        <w:t>wzrosty</w:t>
      </w:r>
      <w:r w:rsidR="00F04030">
        <w:rPr>
          <w:shd w:val="clear" w:color="auto" w:fill="FFFFFF"/>
        </w:rPr>
        <w:t xml:space="preserve"> odpowiednio</w:t>
      </w:r>
      <w:r w:rsidR="00347DB2">
        <w:rPr>
          <w:shd w:val="clear" w:color="auto" w:fill="FFFFFF"/>
        </w:rPr>
        <w:t xml:space="preserve"> o</w:t>
      </w:r>
      <w:r w:rsidR="00F04030">
        <w:rPr>
          <w:shd w:val="clear" w:color="auto" w:fill="FFFFFF"/>
        </w:rPr>
        <w:t xml:space="preserve"> </w:t>
      </w:r>
      <w:r w:rsidR="00AD30E6">
        <w:rPr>
          <w:shd w:val="clear" w:color="auto" w:fill="FFFFFF"/>
        </w:rPr>
        <w:t>2,1</w:t>
      </w:r>
      <w:r w:rsidR="00F4008D" w:rsidRPr="00F4008D">
        <w:rPr>
          <w:shd w:val="clear" w:color="auto" w:fill="FFFFFF"/>
        </w:rPr>
        <w:t>%</w:t>
      </w:r>
      <w:r w:rsidR="00F4008D" w:rsidRPr="0061791A">
        <w:rPr>
          <w:shd w:val="clear" w:color="auto" w:fill="FFFFFF"/>
        </w:rPr>
        <w:t xml:space="preserve"> </w:t>
      </w:r>
      <w:r w:rsidR="00AD30E6">
        <w:rPr>
          <w:shd w:val="clear" w:color="auto" w:fill="FFFFFF"/>
        </w:rPr>
        <w:t>i 62,6</w:t>
      </w:r>
      <w:r w:rsidR="00247C71">
        <w:rPr>
          <w:shd w:val="clear" w:color="auto" w:fill="FFFFFF"/>
        </w:rPr>
        <w:t>%</w:t>
      </w:r>
      <w:r w:rsidR="00F04030">
        <w:rPr>
          <w:shd w:val="clear" w:color="auto" w:fill="FFFFFF"/>
        </w:rPr>
        <w:t xml:space="preserve"> </w:t>
      </w:r>
      <w:r w:rsidR="00AD30E6">
        <w:rPr>
          <w:shd w:val="clear" w:color="auto" w:fill="FFFFFF"/>
        </w:rPr>
        <w:t>w odniesieniu do 2019</w:t>
      </w:r>
      <w:r w:rsidR="00247C71">
        <w:rPr>
          <w:shd w:val="clear" w:color="auto" w:fill="FFFFFF"/>
        </w:rPr>
        <w:t xml:space="preserve"> r. </w:t>
      </w:r>
      <w:r w:rsidR="00D77B37">
        <w:rPr>
          <w:shd w:val="clear" w:color="auto" w:fill="FFFFFF"/>
        </w:rPr>
        <w:t>Natomiast m</w:t>
      </w:r>
      <w:r w:rsidR="009218D1">
        <w:rPr>
          <w:shd w:val="clear" w:color="auto" w:fill="FFFFFF"/>
        </w:rPr>
        <w:t>niej</w:t>
      </w:r>
      <w:r w:rsidR="00510D8A" w:rsidRPr="00DA0F32">
        <w:rPr>
          <w:shd w:val="clear" w:color="auto" w:fill="FFFFFF"/>
        </w:rPr>
        <w:t xml:space="preserve"> </w:t>
      </w:r>
      <w:r w:rsidR="009F0AF2" w:rsidRPr="00DA0F32">
        <w:rPr>
          <w:shd w:val="clear" w:color="auto" w:fill="FFFFFF"/>
        </w:rPr>
        <w:t>mieszkań, których budowę rozpoczęto</w:t>
      </w:r>
      <w:r w:rsidR="0061791A" w:rsidRPr="00C94C3C">
        <w:rPr>
          <w:shd w:val="clear" w:color="auto" w:fill="FFFFFF"/>
        </w:rPr>
        <w:t>,</w:t>
      </w:r>
      <w:r w:rsidR="00E02918">
        <w:rPr>
          <w:shd w:val="clear" w:color="auto" w:fill="FFFFFF"/>
        </w:rPr>
        <w:t xml:space="preserve"> </w:t>
      </w:r>
      <w:r w:rsidR="003133B6" w:rsidRPr="004E0216">
        <w:rPr>
          <w:shd w:val="clear" w:color="auto" w:fill="FFFFFF"/>
        </w:rPr>
        <w:t>zaobserwowano</w:t>
      </w:r>
      <w:r w:rsidR="00E02918">
        <w:rPr>
          <w:shd w:val="clear" w:color="auto" w:fill="FFFFFF"/>
        </w:rPr>
        <w:t xml:space="preserve"> </w:t>
      </w:r>
      <w:r w:rsidR="00CF11EB" w:rsidRPr="00DA0F32">
        <w:rPr>
          <w:shd w:val="clear" w:color="auto" w:fill="FFFFFF"/>
        </w:rPr>
        <w:t xml:space="preserve">w </w:t>
      </w:r>
      <w:r w:rsidR="00682331" w:rsidRPr="00DA0F32">
        <w:rPr>
          <w:shd w:val="clear" w:color="auto" w:fill="FFFFFF"/>
        </w:rPr>
        <w:t>budownictwie</w:t>
      </w:r>
      <w:r w:rsidR="00682331" w:rsidRPr="00DA0F32">
        <w:rPr>
          <w:b/>
          <w:shd w:val="clear" w:color="auto" w:fill="FFFFFF"/>
        </w:rPr>
        <w:t xml:space="preserve"> </w:t>
      </w:r>
      <w:r w:rsidR="00510D8A" w:rsidRPr="00DA0F32">
        <w:rPr>
          <w:b/>
          <w:shd w:val="clear" w:color="auto" w:fill="FFFFFF"/>
        </w:rPr>
        <w:t>spółdzielczym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AD30E6">
        <w:rPr>
          <w:shd w:val="clear" w:color="auto" w:fill="FFFFFF"/>
        </w:rPr>
        <w:t>157</w:t>
      </w:r>
      <w:r w:rsidR="001B4DCC" w:rsidRPr="001B4DCC">
        <w:rPr>
          <w:shd w:val="clear" w:color="auto" w:fill="FFFFFF"/>
        </w:rPr>
        <w:t xml:space="preserve"> </w:t>
      </w:r>
      <w:r w:rsidR="009218D1">
        <w:rPr>
          <w:shd w:val="clear" w:color="auto" w:fill="FFFFFF"/>
        </w:rPr>
        <w:t>mieszkań</w:t>
      </w:r>
      <w:r w:rsidR="00510D8A" w:rsidRPr="00DA0F32">
        <w:rPr>
          <w:shd w:val="clear" w:color="auto" w:fill="FFFFFF"/>
        </w:rPr>
        <w:t xml:space="preserve"> </w:t>
      </w:r>
      <w:r w:rsidR="00EB562E" w:rsidRPr="00DA0F32">
        <w:rPr>
          <w:shd w:val="clear" w:color="auto" w:fill="FFFFFF"/>
        </w:rPr>
        <w:t xml:space="preserve">wobec </w:t>
      </w:r>
      <w:r w:rsidR="00AD30E6">
        <w:rPr>
          <w:shd w:val="clear" w:color="auto" w:fill="FFFFFF"/>
        </w:rPr>
        <w:t>219</w:t>
      </w:r>
      <w:r w:rsidR="00FB21E1">
        <w:rPr>
          <w:shd w:val="clear" w:color="auto" w:fill="FFFFFF"/>
        </w:rPr>
        <w:t xml:space="preserve">), </w:t>
      </w:r>
      <w:r w:rsidR="009134D5">
        <w:rPr>
          <w:shd w:val="clear" w:color="auto" w:fill="FFFFFF"/>
        </w:rPr>
        <w:t>a</w:t>
      </w:r>
      <w:r w:rsidR="00FB21E1">
        <w:rPr>
          <w:shd w:val="clear" w:color="auto" w:fill="FFFFFF"/>
        </w:rPr>
        <w:t xml:space="preserve"> </w:t>
      </w:r>
      <w:r w:rsidR="00E02918">
        <w:rPr>
          <w:shd w:val="clear" w:color="auto" w:fill="FFFFFF"/>
        </w:rPr>
        <w:t>w</w:t>
      </w:r>
      <w:r w:rsidR="00FB21E1">
        <w:rPr>
          <w:shd w:val="clear" w:color="auto" w:fill="FFFFFF"/>
        </w:rPr>
        <w:t>ięcej w</w:t>
      </w:r>
      <w:r w:rsidR="00EB562E" w:rsidRPr="00DA0F32">
        <w:rPr>
          <w:shd w:val="clear" w:color="auto" w:fill="FFFFFF"/>
        </w:rPr>
        <w:t xml:space="preserve"> </w:t>
      </w:r>
      <w:r w:rsidR="00EB562E" w:rsidRPr="00DA0F32">
        <w:rPr>
          <w:b/>
          <w:shd w:val="clear" w:color="auto" w:fill="FFFFFF"/>
        </w:rPr>
        <w:t>po</w:t>
      </w:r>
      <w:r w:rsidR="00510D8A" w:rsidRPr="00DA0F32">
        <w:rPr>
          <w:b/>
          <w:shd w:val="clear" w:color="auto" w:fill="FFFFFF"/>
        </w:rPr>
        <w:t xml:space="preserve">zostałych formach </w:t>
      </w:r>
      <w:r w:rsidR="00510D8A" w:rsidRPr="00DA0F32">
        <w:rPr>
          <w:shd w:val="clear" w:color="auto" w:fill="FFFFFF"/>
        </w:rPr>
        <w:t>budownictwa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AD30E6">
        <w:rPr>
          <w:shd w:val="clear" w:color="auto" w:fill="FFFFFF"/>
        </w:rPr>
        <w:t>285</w:t>
      </w:r>
      <w:r w:rsidR="008E0E06">
        <w:rPr>
          <w:shd w:val="clear" w:color="auto" w:fill="FFFFFF"/>
        </w:rPr>
        <w:t> </w:t>
      </w:r>
      <w:r w:rsidR="00EF7576" w:rsidRPr="00DA0F32">
        <w:rPr>
          <w:shd w:val="clear" w:color="auto" w:fill="FFFFFF"/>
        </w:rPr>
        <w:t>wobec</w:t>
      </w:r>
      <w:r w:rsidR="00EB562E" w:rsidRPr="00DA0F32">
        <w:rPr>
          <w:shd w:val="clear" w:color="auto" w:fill="FFFFFF"/>
        </w:rPr>
        <w:t xml:space="preserve"> </w:t>
      </w:r>
      <w:r w:rsidR="00AD30E6">
        <w:rPr>
          <w:shd w:val="clear" w:color="auto" w:fill="FFFFFF"/>
        </w:rPr>
        <w:t>71</w:t>
      </w:r>
      <w:r w:rsidR="00336412">
        <w:rPr>
          <w:shd w:val="clear" w:color="auto" w:fill="FFFFFF"/>
        </w:rPr>
        <w:t>).</w:t>
      </w:r>
    </w:p>
    <w:p w14:paraId="2523F3F1" w14:textId="1A9176D9" w:rsidR="00007AEB" w:rsidRDefault="003457E4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3</w:t>
      </w:r>
      <w:r w:rsidR="00D36DF7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. Mieszkania, któr</w:t>
      </w:r>
      <w:bookmarkStart w:id="0" w:name="_GoBack"/>
      <w:bookmarkEnd w:id="0"/>
      <w:r w:rsidR="00D36DF7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ych budowę rozpoczęto</w:t>
      </w:r>
    </w:p>
    <w:tbl>
      <w:tblPr>
        <w:tblStyle w:val="Siatkatabelijasna24"/>
        <w:tblpPr w:leftFromText="141" w:rightFromText="141" w:vertAnchor="text" w:horzAnchor="margin" w:tblpY="16"/>
        <w:tblW w:w="7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73"/>
        <w:gridCol w:w="1972"/>
        <w:gridCol w:w="1886"/>
        <w:gridCol w:w="1732"/>
      </w:tblGrid>
      <w:tr w:rsidR="00AD30E6" w:rsidRPr="00AD30E6" w14:paraId="7EE0B24F" w14:textId="77777777" w:rsidTr="00A216F9">
        <w:trPr>
          <w:trHeight w:val="114"/>
        </w:trPr>
        <w:tc>
          <w:tcPr>
            <w:tcW w:w="2273" w:type="dxa"/>
            <w:vMerge w:val="restart"/>
            <w:tcBorders>
              <w:top w:val="nil"/>
              <w:left w:val="nil"/>
              <w:bottom w:val="single" w:sz="12" w:space="0" w:color="212492"/>
            </w:tcBorders>
            <w:vAlign w:val="center"/>
          </w:tcPr>
          <w:p w14:paraId="01E865D4" w14:textId="2E0D8745" w:rsidR="00AD30E6" w:rsidRPr="00AD30E6" w:rsidRDefault="00A216F9" w:rsidP="00AD30E6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A216F9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590" w:type="dxa"/>
            <w:gridSpan w:val="3"/>
            <w:tcBorders>
              <w:top w:val="nil"/>
              <w:right w:val="nil"/>
            </w:tcBorders>
            <w:vAlign w:val="center"/>
          </w:tcPr>
          <w:p w14:paraId="4B971A81" w14:textId="7DA0494A" w:rsidR="00AD30E6" w:rsidRPr="00AD30E6" w:rsidRDefault="00131962" w:rsidP="00AD30E6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I 2020</w:t>
            </w:r>
          </w:p>
        </w:tc>
      </w:tr>
      <w:tr w:rsidR="00AD30E6" w:rsidRPr="00AD30E6" w14:paraId="381CFEB0" w14:textId="77777777" w:rsidTr="00DE4108">
        <w:trPr>
          <w:trHeight w:val="20"/>
        </w:trPr>
        <w:tc>
          <w:tcPr>
            <w:tcW w:w="2273" w:type="dxa"/>
            <w:vMerge/>
            <w:tcBorders>
              <w:left w:val="nil"/>
              <w:bottom w:val="single" w:sz="12" w:space="0" w:color="212492"/>
            </w:tcBorders>
            <w:vAlign w:val="center"/>
          </w:tcPr>
          <w:p w14:paraId="0D2583AD" w14:textId="77777777" w:rsidR="00AD30E6" w:rsidRPr="00AD30E6" w:rsidRDefault="00AD30E6" w:rsidP="00AD30E6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bottom w:val="single" w:sz="12" w:space="0" w:color="212492"/>
            </w:tcBorders>
            <w:vAlign w:val="center"/>
          </w:tcPr>
          <w:p w14:paraId="73394ACD" w14:textId="77777777" w:rsidR="00AD30E6" w:rsidRPr="00AD30E6" w:rsidRDefault="00AD30E6" w:rsidP="00AD30E6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30E6"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886" w:type="dxa"/>
            <w:tcBorders>
              <w:bottom w:val="single" w:sz="12" w:space="0" w:color="212492"/>
            </w:tcBorders>
            <w:vAlign w:val="center"/>
          </w:tcPr>
          <w:p w14:paraId="7109CFC3" w14:textId="5B5A7AA4" w:rsidR="00AD30E6" w:rsidRPr="00AD30E6" w:rsidRDefault="00AD30E6" w:rsidP="00310E69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30E6">
              <w:rPr>
                <w:color w:val="000000" w:themeColor="text1"/>
                <w:sz w:val="16"/>
                <w:szCs w:val="16"/>
              </w:rPr>
              <w:t>I</w:t>
            </w:r>
            <w:r w:rsidR="00310E69">
              <w:rPr>
                <w:color w:val="000000" w:themeColor="text1"/>
                <w:sz w:val="16"/>
                <w:szCs w:val="16"/>
              </w:rPr>
              <w:t xml:space="preserve"> </w:t>
            </w:r>
            <w:r w:rsidR="00131962">
              <w:rPr>
                <w:color w:val="000000" w:themeColor="text1"/>
                <w:sz w:val="16"/>
                <w:szCs w:val="16"/>
              </w:rPr>
              <w:t>2019</w:t>
            </w:r>
            <w:r w:rsidRPr="00AD30E6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730" w:type="dxa"/>
            <w:tcBorders>
              <w:bottom w:val="single" w:sz="12" w:space="0" w:color="212492"/>
              <w:right w:val="nil"/>
            </w:tcBorders>
            <w:vAlign w:val="center"/>
          </w:tcPr>
          <w:p w14:paraId="2B174E20" w14:textId="1266B8E4" w:rsidR="00AD30E6" w:rsidRPr="00AD30E6" w:rsidRDefault="00AD30E6" w:rsidP="00310E69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30E6">
              <w:rPr>
                <w:color w:val="000000" w:themeColor="text1"/>
                <w:sz w:val="16"/>
                <w:szCs w:val="16"/>
              </w:rPr>
              <w:t>XII</w:t>
            </w:r>
            <w:r w:rsidR="00310E69">
              <w:rPr>
                <w:color w:val="000000" w:themeColor="text1"/>
                <w:sz w:val="16"/>
                <w:szCs w:val="16"/>
              </w:rPr>
              <w:t xml:space="preserve"> </w:t>
            </w:r>
            <w:r w:rsidR="00131962">
              <w:rPr>
                <w:color w:val="000000" w:themeColor="text1"/>
                <w:sz w:val="16"/>
                <w:szCs w:val="16"/>
              </w:rPr>
              <w:t>2019</w:t>
            </w:r>
            <w:r w:rsidRPr="00AD30E6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D30E6" w:rsidRPr="00AD30E6" w14:paraId="63EB634C" w14:textId="77777777" w:rsidTr="00DE4108">
        <w:trPr>
          <w:trHeight w:val="59"/>
        </w:trPr>
        <w:tc>
          <w:tcPr>
            <w:tcW w:w="2273" w:type="dxa"/>
            <w:tcBorders>
              <w:top w:val="single" w:sz="4" w:space="0" w:color="212492"/>
              <w:left w:val="nil"/>
            </w:tcBorders>
            <w:vAlign w:val="center"/>
          </w:tcPr>
          <w:p w14:paraId="4B637057" w14:textId="03A5B26C" w:rsidR="00AD30E6" w:rsidRPr="00AD30E6" w:rsidRDefault="00A216F9" w:rsidP="00AD30E6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216F9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972" w:type="dxa"/>
            <w:tcBorders>
              <w:top w:val="single" w:sz="4" w:space="0" w:color="212492"/>
            </w:tcBorders>
            <w:vAlign w:val="center"/>
          </w:tcPr>
          <w:p w14:paraId="40D9A19B" w14:textId="2C8B6C92" w:rsidR="00AD30E6" w:rsidRPr="00AD30E6" w:rsidRDefault="00131962" w:rsidP="00AD30E6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31962">
              <w:rPr>
                <w:b/>
                <w:color w:val="000000" w:themeColor="text1"/>
                <w:sz w:val="16"/>
                <w:szCs w:val="16"/>
              </w:rPr>
              <w:t>15 891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781995A4" w14:textId="128F47AF" w:rsidR="00AD30E6" w:rsidRPr="00AD30E6" w:rsidRDefault="00131962" w:rsidP="00AD30E6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31962">
              <w:rPr>
                <w:b/>
                <w:color w:val="000000" w:themeColor="text1"/>
                <w:sz w:val="16"/>
                <w:szCs w:val="16"/>
              </w:rPr>
              <w:t>118,2</w:t>
            </w:r>
          </w:p>
        </w:tc>
        <w:tc>
          <w:tcPr>
            <w:tcW w:w="1730" w:type="dxa"/>
            <w:tcBorders>
              <w:top w:val="single" w:sz="12" w:space="0" w:color="212492"/>
              <w:right w:val="nil"/>
            </w:tcBorders>
            <w:vAlign w:val="center"/>
          </w:tcPr>
          <w:p w14:paraId="088EA8B8" w14:textId="36DAE706" w:rsidR="00AD30E6" w:rsidRPr="00AD30E6" w:rsidRDefault="00131962" w:rsidP="00AD30E6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31962">
              <w:rPr>
                <w:b/>
                <w:color w:val="000000" w:themeColor="text1"/>
                <w:sz w:val="16"/>
                <w:szCs w:val="16"/>
              </w:rPr>
              <w:t>100,2</w:t>
            </w:r>
          </w:p>
        </w:tc>
      </w:tr>
      <w:tr w:rsidR="00AD30E6" w:rsidRPr="00AD30E6" w14:paraId="694CDCB8" w14:textId="77777777" w:rsidTr="00DE4108">
        <w:trPr>
          <w:trHeight w:val="59"/>
        </w:trPr>
        <w:tc>
          <w:tcPr>
            <w:tcW w:w="2273" w:type="dxa"/>
            <w:tcBorders>
              <w:left w:val="nil"/>
            </w:tcBorders>
            <w:vAlign w:val="center"/>
          </w:tcPr>
          <w:p w14:paraId="584D4D40" w14:textId="77777777" w:rsidR="00AD30E6" w:rsidRPr="00AD30E6" w:rsidRDefault="00AD30E6" w:rsidP="00AD30E6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D30E6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972" w:type="dxa"/>
            <w:vAlign w:val="center"/>
          </w:tcPr>
          <w:p w14:paraId="289966A5" w14:textId="7BFE5244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5 420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20038BFB" w14:textId="5E428511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162,6</w:t>
            </w:r>
          </w:p>
        </w:tc>
        <w:tc>
          <w:tcPr>
            <w:tcW w:w="1730" w:type="dxa"/>
            <w:tcBorders>
              <w:right w:val="nil"/>
            </w:tcBorders>
            <w:vAlign w:val="center"/>
          </w:tcPr>
          <w:p w14:paraId="431DCCF6" w14:textId="22B73306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rFonts w:cs="Arial"/>
                <w:color w:val="000000" w:themeColor="text1"/>
                <w:sz w:val="16"/>
                <w:szCs w:val="16"/>
              </w:rPr>
              <w:t>138,2</w:t>
            </w:r>
          </w:p>
        </w:tc>
      </w:tr>
      <w:tr w:rsidR="00AD30E6" w:rsidRPr="00AD30E6" w14:paraId="32579A31" w14:textId="77777777" w:rsidTr="00DE4108">
        <w:trPr>
          <w:trHeight w:val="59"/>
        </w:trPr>
        <w:tc>
          <w:tcPr>
            <w:tcW w:w="2273" w:type="dxa"/>
            <w:tcBorders>
              <w:left w:val="nil"/>
            </w:tcBorders>
            <w:vAlign w:val="center"/>
          </w:tcPr>
          <w:p w14:paraId="44BC7980" w14:textId="77777777" w:rsidR="00AD30E6" w:rsidRPr="00AD30E6" w:rsidRDefault="00AD30E6" w:rsidP="00AD30E6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D30E6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972" w:type="dxa"/>
            <w:tcBorders>
              <w:bottom w:val="single" w:sz="4" w:space="0" w:color="212492"/>
            </w:tcBorders>
            <w:vAlign w:val="center"/>
          </w:tcPr>
          <w:p w14:paraId="0D8E0A9B" w14:textId="3B91C1CB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10 029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1D398D64" w14:textId="4348694B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730" w:type="dxa"/>
            <w:tcBorders>
              <w:bottom w:val="single" w:sz="4" w:space="0" w:color="212492"/>
              <w:right w:val="nil"/>
            </w:tcBorders>
            <w:vAlign w:val="center"/>
          </w:tcPr>
          <w:p w14:paraId="43F1E7D4" w14:textId="75E94426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rFonts w:cs="Arial"/>
                <w:color w:val="000000" w:themeColor="text1"/>
                <w:sz w:val="16"/>
                <w:szCs w:val="16"/>
              </w:rPr>
              <w:t>86,3</w:t>
            </w:r>
          </w:p>
        </w:tc>
      </w:tr>
      <w:tr w:rsidR="00AD30E6" w:rsidRPr="00AD30E6" w14:paraId="3692625B" w14:textId="77777777" w:rsidTr="00DE4108">
        <w:trPr>
          <w:trHeight w:val="59"/>
        </w:trPr>
        <w:tc>
          <w:tcPr>
            <w:tcW w:w="2273" w:type="dxa"/>
            <w:tcBorders>
              <w:left w:val="nil"/>
            </w:tcBorders>
            <w:vAlign w:val="center"/>
          </w:tcPr>
          <w:p w14:paraId="65C30C09" w14:textId="79FEF0C6" w:rsidR="00AD30E6" w:rsidRPr="00AD30E6" w:rsidRDefault="00AD30E6" w:rsidP="00AD30E6">
            <w:pPr>
              <w:keepNext/>
              <w:keepLines/>
              <w:tabs>
                <w:tab w:val="right" w:leader="dot" w:pos="4156"/>
              </w:tabs>
              <w:spacing w:before="0" w:after="0"/>
              <w:ind w:left="171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</w:pPr>
            <w:r w:rsidRPr="00AD30E6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w tym na wynajem</w:t>
            </w:r>
            <w:r w:rsidR="000409DE"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72" w:type="dxa"/>
            <w:tcBorders>
              <w:top w:val="single" w:sz="4" w:space="0" w:color="212492"/>
              <w:bottom w:val="single" w:sz="4" w:space="0" w:color="auto"/>
            </w:tcBorders>
            <w:vAlign w:val="center"/>
          </w:tcPr>
          <w:p w14:paraId="06B1A4FE" w14:textId="131D3CFF" w:rsidR="00AD30E6" w:rsidRPr="00AD30E6" w:rsidRDefault="00131962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68135114" w14:textId="20EA94E1" w:rsidR="00AD30E6" w:rsidRPr="00AD30E6" w:rsidRDefault="00131962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425,0</w:t>
            </w:r>
          </w:p>
        </w:tc>
        <w:tc>
          <w:tcPr>
            <w:tcW w:w="1730" w:type="dxa"/>
            <w:tcBorders>
              <w:top w:val="single" w:sz="4" w:space="0" w:color="212492"/>
              <w:bottom w:val="single" w:sz="4" w:space="0" w:color="auto"/>
              <w:right w:val="nil"/>
            </w:tcBorders>
            <w:vAlign w:val="center"/>
          </w:tcPr>
          <w:p w14:paraId="481A5DEF" w14:textId="3FB1641E" w:rsidR="00AD30E6" w:rsidRPr="00AD30E6" w:rsidRDefault="00131962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131962">
              <w:rPr>
                <w:rFonts w:cs="Arial"/>
                <w:color w:val="000000" w:themeColor="text1"/>
                <w:sz w:val="16"/>
                <w:szCs w:val="16"/>
              </w:rPr>
              <w:t>51,5</w:t>
            </w:r>
          </w:p>
        </w:tc>
      </w:tr>
      <w:tr w:rsidR="00AD30E6" w:rsidRPr="00AD30E6" w14:paraId="632781FF" w14:textId="77777777" w:rsidTr="00DE4108">
        <w:trPr>
          <w:trHeight w:val="59"/>
        </w:trPr>
        <w:tc>
          <w:tcPr>
            <w:tcW w:w="2273" w:type="dxa"/>
            <w:tcBorders>
              <w:left w:val="nil"/>
            </w:tcBorders>
            <w:vAlign w:val="center"/>
          </w:tcPr>
          <w:p w14:paraId="28D4104E" w14:textId="77777777" w:rsidR="00AD30E6" w:rsidRPr="00AD30E6" w:rsidRDefault="00AD30E6" w:rsidP="00AD30E6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AD30E6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212492"/>
            </w:tcBorders>
            <w:vAlign w:val="center"/>
          </w:tcPr>
          <w:p w14:paraId="6A82529B" w14:textId="445F136B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24A7EF15" w14:textId="3493DC13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71,7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212492"/>
              <w:right w:val="nil"/>
            </w:tcBorders>
            <w:vAlign w:val="center"/>
          </w:tcPr>
          <w:p w14:paraId="598BCC3F" w14:textId="1B0B88F5" w:rsidR="00AD30E6" w:rsidRPr="00AD30E6" w:rsidRDefault="007C2031" w:rsidP="008F061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AD30E6" w:rsidRPr="00AD30E6" w14:paraId="0460330A" w14:textId="77777777" w:rsidTr="00DE4108">
        <w:trPr>
          <w:trHeight w:val="59"/>
        </w:trPr>
        <w:tc>
          <w:tcPr>
            <w:tcW w:w="2273" w:type="dxa"/>
            <w:tcBorders>
              <w:left w:val="nil"/>
              <w:bottom w:val="single" w:sz="4" w:space="0" w:color="212492"/>
            </w:tcBorders>
            <w:vAlign w:val="center"/>
          </w:tcPr>
          <w:p w14:paraId="7DB3102A" w14:textId="77777777" w:rsidR="00AD30E6" w:rsidRPr="00AD30E6" w:rsidRDefault="00AD30E6" w:rsidP="00AD30E6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D30E6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97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5980171D" w14:textId="774DBCDB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2203971E" w14:textId="61872C91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261,1</w:t>
            </w:r>
          </w:p>
        </w:tc>
        <w:tc>
          <w:tcPr>
            <w:tcW w:w="1730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7EC91CBB" w14:textId="4402E9D6" w:rsidR="00AD30E6" w:rsidRPr="00AD30E6" w:rsidRDefault="00131962" w:rsidP="00AD30E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40,2</w:t>
            </w:r>
          </w:p>
        </w:tc>
      </w:tr>
      <w:tr w:rsidR="00AD30E6" w:rsidRPr="00AD30E6" w14:paraId="4DFEE16F" w14:textId="77777777" w:rsidTr="00DE4108">
        <w:trPr>
          <w:trHeight w:val="59"/>
        </w:trPr>
        <w:tc>
          <w:tcPr>
            <w:tcW w:w="2273" w:type="dxa"/>
            <w:tcBorders>
              <w:left w:val="nil"/>
              <w:bottom w:val="single" w:sz="4" w:space="0" w:color="212492"/>
            </w:tcBorders>
            <w:vAlign w:val="center"/>
          </w:tcPr>
          <w:p w14:paraId="7992B8E8" w14:textId="77777777" w:rsidR="00AD30E6" w:rsidRPr="00AD30E6" w:rsidRDefault="00AD30E6" w:rsidP="00AD30E6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D30E6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972" w:type="dxa"/>
            <w:tcBorders>
              <w:top w:val="single" w:sz="4" w:space="0" w:color="212492"/>
              <w:bottom w:val="single" w:sz="4" w:space="0" w:color="auto"/>
            </w:tcBorders>
            <w:vAlign w:val="center"/>
          </w:tcPr>
          <w:p w14:paraId="0CCC97EB" w14:textId="73A539F8" w:rsidR="00AD30E6" w:rsidRPr="00AD30E6" w:rsidRDefault="00131962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auto"/>
              <w:right w:val="single" w:sz="4" w:space="0" w:color="auto"/>
            </w:tcBorders>
            <w:vAlign w:val="center"/>
          </w:tcPr>
          <w:p w14:paraId="1FECBAC2" w14:textId="2D1B03A7" w:rsidR="00AD30E6" w:rsidRPr="00AD30E6" w:rsidRDefault="00131962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422,6</w:t>
            </w:r>
          </w:p>
        </w:tc>
        <w:tc>
          <w:tcPr>
            <w:tcW w:w="1730" w:type="dxa"/>
            <w:tcBorders>
              <w:top w:val="single" w:sz="4" w:space="0" w:color="212492"/>
              <w:bottom w:val="single" w:sz="4" w:space="0" w:color="auto"/>
              <w:right w:val="nil"/>
            </w:tcBorders>
            <w:vAlign w:val="center"/>
          </w:tcPr>
          <w:p w14:paraId="57C57AA5" w14:textId="1E95CE82" w:rsidR="00AD30E6" w:rsidRPr="00AD30E6" w:rsidRDefault="00131962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111,4</w:t>
            </w:r>
          </w:p>
        </w:tc>
      </w:tr>
      <w:tr w:rsidR="00AD30E6" w:rsidRPr="00AD30E6" w14:paraId="51DA6696" w14:textId="77777777" w:rsidTr="00DE4108">
        <w:trPr>
          <w:trHeight w:val="59"/>
        </w:trPr>
        <w:tc>
          <w:tcPr>
            <w:tcW w:w="2273" w:type="dxa"/>
            <w:tcBorders>
              <w:left w:val="nil"/>
              <w:bottom w:val="nil"/>
            </w:tcBorders>
            <w:vAlign w:val="center"/>
          </w:tcPr>
          <w:p w14:paraId="461B42D4" w14:textId="51519054" w:rsidR="00AD30E6" w:rsidRPr="00AD30E6" w:rsidRDefault="00AD30E6" w:rsidP="00AD30E6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D30E6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972" w:type="dxa"/>
            <w:tcBorders>
              <w:top w:val="single" w:sz="4" w:space="0" w:color="212492"/>
              <w:bottom w:val="nil"/>
            </w:tcBorders>
            <w:vAlign w:val="center"/>
          </w:tcPr>
          <w:p w14:paraId="1EDFA140" w14:textId="6395FE4C" w:rsidR="00AD30E6" w:rsidRPr="00AD30E6" w:rsidRDefault="00131962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13196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86" w:type="dxa"/>
            <w:tcBorders>
              <w:top w:val="single" w:sz="4" w:space="0" w:color="212492"/>
              <w:bottom w:val="nil"/>
              <w:right w:val="single" w:sz="4" w:space="0" w:color="auto"/>
            </w:tcBorders>
            <w:vAlign w:val="center"/>
          </w:tcPr>
          <w:p w14:paraId="0439CCC0" w14:textId="73C63818" w:rsidR="00AD30E6" w:rsidRPr="00AD30E6" w:rsidRDefault="007C2031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212492"/>
              <w:bottom w:val="nil"/>
              <w:right w:val="nil"/>
            </w:tcBorders>
            <w:vAlign w:val="center"/>
          </w:tcPr>
          <w:p w14:paraId="38709394" w14:textId="6C6283D2" w:rsidR="00AD30E6" w:rsidRPr="00AD30E6" w:rsidRDefault="007C2031" w:rsidP="00AD30E6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5E74B479" w14:textId="079D3182" w:rsidR="00047CF8" w:rsidRPr="005921E2" w:rsidRDefault="00047CF8" w:rsidP="00AC2B69">
      <w:pPr>
        <w:keepNext/>
        <w:spacing w:before="240" w:line="240" w:lineRule="auto"/>
        <w:outlineLvl w:val="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Szacuje się, że </w:t>
      </w:r>
      <w:r w:rsidR="00BB53B6">
        <w:rPr>
          <w:shd w:val="clear" w:color="auto" w:fill="FFFFFF"/>
        </w:rPr>
        <w:t xml:space="preserve">na koniec </w:t>
      </w:r>
      <w:r w:rsidR="00131962">
        <w:rPr>
          <w:shd w:val="clear" w:color="auto" w:fill="FFFFFF"/>
        </w:rPr>
        <w:t>stycznia 2020</w:t>
      </w:r>
      <w:r w:rsidR="00AB62E4">
        <w:rPr>
          <w:shd w:val="clear" w:color="auto" w:fill="FFFFFF"/>
        </w:rPr>
        <w:t xml:space="preserve"> r. w </w:t>
      </w:r>
      <w:r w:rsidR="00101571">
        <w:rPr>
          <w:shd w:val="clear" w:color="auto" w:fill="FFFFFF"/>
        </w:rPr>
        <w:t xml:space="preserve">budowie pozostawało </w:t>
      </w:r>
      <w:r w:rsidR="00CB5287">
        <w:rPr>
          <w:shd w:val="clear" w:color="auto" w:fill="FFFFFF"/>
        </w:rPr>
        <w:t>824</w:t>
      </w:r>
      <w:r w:rsidR="000C0B2E">
        <w:rPr>
          <w:shd w:val="clear" w:color="auto" w:fill="FFFFFF"/>
        </w:rPr>
        <w:t>,</w:t>
      </w:r>
      <w:r w:rsidR="00CB5287">
        <w:rPr>
          <w:shd w:val="clear" w:color="auto" w:fill="FFFFFF"/>
        </w:rPr>
        <w:t>2</w:t>
      </w:r>
      <w:r w:rsidR="005921E2">
        <w:rPr>
          <w:shd w:val="clear" w:color="auto" w:fill="FFFFFF"/>
        </w:rPr>
        <w:t xml:space="preserve"> tys. mieszkań, </w:t>
      </w:r>
      <w:r w:rsidR="005921E2">
        <w:rPr>
          <w:shd w:val="clear" w:color="auto" w:fill="FFFFFF"/>
        </w:rPr>
        <w:br/>
        <w:t xml:space="preserve">tj. </w:t>
      </w:r>
      <w:r w:rsidR="00CB5287">
        <w:rPr>
          <w:shd w:val="clear" w:color="auto" w:fill="FFFFFF"/>
        </w:rPr>
        <w:t>o 4,1</w:t>
      </w:r>
      <w:r>
        <w:rPr>
          <w:shd w:val="clear" w:color="auto" w:fill="FFFFFF"/>
        </w:rPr>
        <w:t xml:space="preserve">% więcej niż w analogicznym </w:t>
      </w:r>
      <w:r w:rsidR="00CB5287">
        <w:rPr>
          <w:shd w:val="clear" w:color="auto" w:fill="FFFFFF"/>
        </w:rPr>
        <w:t>miesiącu roku 2019</w:t>
      </w:r>
      <w:r w:rsidR="006631D9">
        <w:rPr>
          <w:shd w:val="clear" w:color="auto" w:fill="FFFFFF"/>
        </w:rPr>
        <w:t xml:space="preserve">. </w:t>
      </w:r>
    </w:p>
    <w:p w14:paraId="2FE01F02" w14:textId="0925DE79" w:rsidR="00047CF8" w:rsidRPr="00035886" w:rsidRDefault="008F0617" w:rsidP="00F113BA">
      <w:pPr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21056" behindDoc="0" locked="0" layoutInCell="1" allowOverlap="1" wp14:anchorId="0A59AEAD" wp14:editId="5E9BB37A">
            <wp:simplePos x="0" y="0"/>
            <wp:positionH relativeFrom="margin">
              <wp:align>right</wp:align>
            </wp:positionH>
            <wp:positionV relativeFrom="paragraph">
              <wp:posOffset>6746</wp:posOffset>
            </wp:positionV>
            <wp:extent cx="5122545" cy="2895600"/>
            <wp:effectExtent l="0" t="0" r="0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7E4">
        <w:rPr>
          <w:b/>
          <w:sz w:val="18"/>
          <w:szCs w:val="18"/>
        </w:rPr>
        <w:t>Wykres</w:t>
      </w:r>
      <w:r w:rsidR="00047CF8" w:rsidRPr="00C92A18">
        <w:rPr>
          <w:b/>
          <w:sz w:val="18"/>
          <w:szCs w:val="18"/>
        </w:rPr>
        <w:t xml:space="preserve"> 1. Ruch budowlany w obszarze budownictwa mieszkaniowego</w:t>
      </w:r>
      <w:r w:rsidR="00047CF8">
        <w:rPr>
          <w:b/>
          <w:sz w:val="18"/>
          <w:szCs w:val="18"/>
        </w:rPr>
        <w:t xml:space="preserve"> w Polsce</w:t>
      </w:r>
    </w:p>
    <w:p w14:paraId="0AE93069" w14:textId="0B9FB66B" w:rsidR="00E56DD9" w:rsidRDefault="00440098" w:rsidP="00F113BA">
      <w:pPr>
        <w:rPr>
          <w:szCs w:val="19"/>
          <w:shd w:val="clear" w:color="auto" w:fill="FFFFFF"/>
        </w:rPr>
      </w:pPr>
      <w:r w:rsidRPr="00C31687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559AE43" wp14:editId="5BA4C524">
                <wp:simplePos x="0" y="0"/>
                <wp:positionH relativeFrom="page">
                  <wp:posOffset>5774055</wp:posOffset>
                </wp:positionH>
                <wp:positionV relativeFrom="paragraph">
                  <wp:posOffset>59055</wp:posOffset>
                </wp:positionV>
                <wp:extent cx="1756410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D940" w14:textId="269485BC" w:rsidR="002D36F4" w:rsidRPr="00296B74" w:rsidRDefault="00F25C7B" w:rsidP="00C62034">
                            <w:pPr>
                              <w:pStyle w:val="tekstzboku"/>
                              <w:spacing w:before="0"/>
                              <w:ind w:left="-142"/>
                            </w:pPr>
                            <w:r>
                              <w:rPr>
                                <w:bCs w:val="0"/>
                              </w:rPr>
                              <w:t>W</w:t>
                            </w:r>
                            <w:r w:rsidRPr="00296B74">
                              <w:t xml:space="preserve"> </w:t>
                            </w:r>
                            <w:r w:rsidR="00301DF5">
                              <w:t>styczniu 2020</w:t>
                            </w:r>
                            <w:r w:rsidR="00440098">
                              <w:t xml:space="preserve"> roku</w:t>
                            </w:r>
                            <w:r w:rsidR="009E21D0" w:rsidRPr="00296B74">
                              <w:t>,</w:t>
                            </w:r>
                            <w:r w:rsidR="00440098">
                              <w:t xml:space="preserve"> w porównaniu </w:t>
                            </w:r>
                            <w:r w:rsidRPr="00296B74">
                              <w:t xml:space="preserve">do </w:t>
                            </w:r>
                            <w:r w:rsidR="00301DF5">
                              <w:t>grudnia 2019 r.</w:t>
                            </w:r>
                            <w:r w:rsidR="009E21D0" w:rsidRPr="00296B74">
                              <w:t>,</w:t>
                            </w:r>
                            <w:r w:rsidR="001B4968" w:rsidRPr="00296B74">
                              <w:t xml:space="preserve"> </w:t>
                            </w:r>
                            <w:r w:rsidR="00301DF5">
                              <w:t>spadła</w:t>
                            </w:r>
                            <w:r w:rsidR="006D4186" w:rsidRPr="006D4186">
                              <w:t xml:space="preserve"> </w:t>
                            </w:r>
                            <w:r w:rsidR="00A270F5" w:rsidRPr="00296B74">
                              <w:t>liczba mieszkań</w:t>
                            </w:r>
                            <w:r w:rsidR="00F864BE" w:rsidRPr="00296B74">
                              <w:t xml:space="preserve"> oddanych do użytkowania </w:t>
                            </w:r>
                            <w:r w:rsidR="005861A1">
                              <w:t>(o </w:t>
                            </w:r>
                            <w:r w:rsidR="00301DF5">
                              <w:t>24,1</w:t>
                            </w:r>
                            <w:r w:rsidR="002D36F4">
                              <w:t>%</w:t>
                            </w:r>
                            <w:r w:rsidR="006D4186">
                              <w:t>)</w:t>
                            </w:r>
                            <w:r w:rsidR="002D36F4">
                              <w:t xml:space="preserve"> </w:t>
                            </w:r>
                            <w:r w:rsidR="000668BF">
                              <w:t xml:space="preserve">oraz </w:t>
                            </w:r>
                            <w:r w:rsidR="00FE19FF">
                              <w:t>l</w:t>
                            </w:r>
                            <w:r w:rsidR="002D36F4">
                              <w:t>iczba</w:t>
                            </w:r>
                            <w:r w:rsidR="00F84441" w:rsidRPr="00296B74">
                              <w:t xml:space="preserve"> mieszkań, na których budowę wydano pozwo</w:t>
                            </w:r>
                            <w:r w:rsidR="00C62034">
                              <w:t>lenia lub dokonano zgłoszenia z </w:t>
                            </w:r>
                            <w:r w:rsidR="00F84441" w:rsidRPr="00296B74">
                              <w:t xml:space="preserve">projektem budowlanym </w:t>
                            </w:r>
                            <w:r w:rsidR="00301DF5">
                              <w:t>(o 8,6</w:t>
                            </w:r>
                            <w:r w:rsidR="000668BF">
                              <w:t xml:space="preserve">%), natomiast </w:t>
                            </w:r>
                            <w:r w:rsidR="00301DF5">
                              <w:t>wzrosła</w:t>
                            </w:r>
                            <w:r w:rsidR="000668BF">
                              <w:t xml:space="preserve"> liczba mieszkań,</w:t>
                            </w:r>
                            <w:r w:rsidR="00301DF5">
                              <w:t xml:space="preserve"> których budowę rozpoczęto (o 0,2</w:t>
                            </w:r>
                            <w:r w:rsidR="000668BF">
                              <w:t>%).</w:t>
                            </w:r>
                          </w:p>
                          <w:p w14:paraId="4F0C4222" w14:textId="4FAB5B05" w:rsidR="00C31687" w:rsidRPr="00296B74" w:rsidRDefault="00C31687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59AE4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54.65pt;margin-top:4.65pt;width:138.3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" filled="f" stroked="f">
                <v:textbox style="mso-fit-shape-to-text:t">
                  <w:txbxContent>
                    <w:p w14:paraId="62FBD940" w14:textId="269485BC" w:rsidR="002D36F4" w:rsidRPr="00296B74" w:rsidRDefault="00F25C7B" w:rsidP="00C62034">
                      <w:pPr>
                        <w:pStyle w:val="tekstzboku"/>
                        <w:spacing w:before="0"/>
                        <w:ind w:left="-142"/>
                      </w:pPr>
                      <w:r>
                        <w:rPr>
                          <w:bCs w:val="0"/>
                        </w:rPr>
                        <w:t>W</w:t>
                      </w:r>
                      <w:r w:rsidRPr="00296B74">
                        <w:t xml:space="preserve"> </w:t>
                      </w:r>
                      <w:r w:rsidR="00301DF5">
                        <w:t>styczniu 2020</w:t>
                      </w:r>
                      <w:r w:rsidR="00440098">
                        <w:t xml:space="preserve"> roku</w:t>
                      </w:r>
                      <w:r w:rsidR="009E21D0" w:rsidRPr="00296B74">
                        <w:t>,</w:t>
                      </w:r>
                      <w:r w:rsidR="00440098">
                        <w:t xml:space="preserve"> w porównaniu </w:t>
                      </w:r>
                      <w:r w:rsidRPr="00296B74">
                        <w:t xml:space="preserve">do </w:t>
                      </w:r>
                      <w:r w:rsidR="00301DF5">
                        <w:t>grudnia 2019 r.</w:t>
                      </w:r>
                      <w:r w:rsidR="009E21D0" w:rsidRPr="00296B74">
                        <w:t>,</w:t>
                      </w:r>
                      <w:r w:rsidR="001B4968" w:rsidRPr="00296B74">
                        <w:t xml:space="preserve"> </w:t>
                      </w:r>
                      <w:r w:rsidR="00301DF5">
                        <w:t>spadła</w:t>
                      </w:r>
                      <w:r w:rsidR="006D4186" w:rsidRPr="006D4186">
                        <w:t xml:space="preserve"> </w:t>
                      </w:r>
                      <w:r w:rsidR="00A270F5" w:rsidRPr="00296B74">
                        <w:t>liczba mieszkań</w:t>
                      </w:r>
                      <w:r w:rsidR="00F864BE" w:rsidRPr="00296B74">
                        <w:t xml:space="preserve"> oddanych do użytkowania </w:t>
                      </w:r>
                      <w:r w:rsidR="005861A1">
                        <w:t>(o </w:t>
                      </w:r>
                      <w:r w:rsidR="00301DF5">
                        <w:t>24,1</w:t>
                      </w:r>
                      <w:r w:rsidR="002D36F4">
                        <w:t>%</w:t>
                      </w:r>
                      <w:r w:rsidR="006D4186">
                        <w:t>)</w:t>
                      </w:r>
                      <w:r w:rsidR="002D36F4">
                        <w:t xml:space="preserve"> </w:t>
                      </w:r>
                      <w:r w:rsidR="000668BF">
                        <w:t xml:space="preserve">oraz </w:t>
                      </w:r>
                      <w:r w:rsidR="00FE19FF">
                        <w:t>l</w:t>
                      </w:r>
                      <w:r w:rsidR="002D36F4">
                        <w:t>iczba</w:t>
                      </w:r>
                      <w:r w:rsidR="00F84441" w:rsidRPr="00296B74">
                        <w:t xml:space="preserve"> mieszkań, na których budowę wydano pozwo</w:t>
                      </w:r>
                      <w:r w:rsidR="00C62034">
                        <w:t>lenia lub dokonano zgłoszenia z </w:t>
                      </w:r>
                      <w:r w:rsidR="00F84441" w:rsidRPr="00296B74">
                        <w:t xml:space="preserve">projektem budowlanym </w:t>
                      </w:r>
                      <w:r w:rsidR="00301DF5">
                        <w:t>(o 8,6</w:t>
                      </w:r>
                      <w:r w:rsidR="000668BF">
                        <w:t xml:space="preserve">%), natomiast </w:t>
                      </w:r>
                      <w:r w:rsidR="00301DF5">
                        <w:t>wzrosła</w:t>
                      </w:r>
                      <w:r w:rsidR="000668BF">
                        <w:t xml:space="preserve"> liczba mieszkań,</w:t>
                      </w:r>
                      <w:r w:rsidR="00301DF5">
                        <w:t xml:space="preserve"> których budowę rozpoczęto (o 0,2</w:t>
                      </w:r>
                      <w:r w:rsidR="000668BF">
                        <w:t>%).</w:t>
                      </w:r>
                    </w:p>
                    <w:p w14:paraId="4F0C4222" w14:textId="4FAB5B05" w:rsidR="00C31687" w:rsidRPr="00296B74" w:rsidRDefault="00C31687" w:rsidP="00296B74">
                      <w:pPr>
                        <w:pStyle w:val="tekstzboku"/>
                        <w:spacing w:before="0"/>
                        <w:ind w:left="-142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CDA204" w14:textId="77777777" w:rsidR="008F0617" w:rsidRDefault="008F0617" w:rsidP="00F113BA">
      <w:pPr>
        <w:rPr>
          <w:szCs w:val="19"/>
          <w:shd w:val="clear" w:color="auto" w:fill="FFFFFF"/>
        </w:rPr>
      </w:pPr>
    </w:p>
    <w:p w14:paraId="2EF2E6BD" w14:textId="77777777" w:rsidR="00E56DD9" w:rsidRDefault="00E56DD9" w:rsidP="00F113BA">
      <w:pPr>
        <w:rPr>
          <w:szCs w:val="19"/>
          <w:shd w:val="clear" w:color="auto" w:fill="FFFFFF"/>
        </w:rPr>
      </w:pPr>
    </w:p>
    <w:p w14:paraId="378ABC26" w14:textId="77777777" w:rsidR="00E56DD9" w:rsidRDefault="00E56DD9" w:rsidP="00F113BA">
      <w:pPr>
        <w:rPr>
          <w:szCs w:val="19"/>
          <w:shd w:val="clear" w:color="auto" w:fill="FFFFFF"/>
        </w:rPr>
      </w:pPr>
    </w:p>
    <w:p w14:paraId="6060CF53" w14:textId="77777777" w:rsidR="00E56DD9" w:rsidRDefault="00E56DD9" w:rsidP="00F113BA">
      <w:pPr>
        <w:rPr>
          <w:szCs w:val="19"/>
          <w:shd w:val="clear" w:color="auto" w:fill="FFFFFF"/>
        </w:rPr>
      </w:pPr>
    </w:p>
    <w:p w14:paraId="7CFE94F7" w14:textId="77777777" w:rsidR="00E56DD9" w:rsidRDefault="00E56DD9" w:rsidP="00F113BA">
      <w:pPr>
        <w:rPr>
          <w:szCs w:val="19"/>
          <w:shd w:val="clear" w:color="auto" w:fill="FFFFFF"/>
        </w:rPr>
      </w:pPr>
    </w:p>
    <w:p w14:paraId="4DA5C48F" w14:textId="77777777" w:rsidR="00E56DD9" w:rsidRDefault="00E56DD9" w:rsidP="00F113BA">
      <w:pPr>
        <w:rPr>
          <w:szCs w:val="19"/>
          <w:shd w:val="clear" w:color="auto" w:fill="FFFFFF"/>
        </w:rPr>
      </w:pPr>
    </w:p>
    <w:p w14:paraId="3B601DEE" w14:textId="77777777" w:rsidR="006720A1" w:rsidRDefault="006720A1" w:rsidP="00F113BA">
      <w:pPr>
        <w:rPr>
          <w:szCs w:val="19"/>
          <w:shd w:val="clear" w:color="auto" w:fill="FFFFFF"/>
        </w:rPr>
      </w:pPr>
    </w:p>
    <w:p w14:paraId="7168FE63" w14:textId="77777777" w:rsidR="00CF55D1" w:rsidRDefault="00CF55D1" w:rsidP="00F113BA">
      <w:pPr>
        <w:rPr>
          <w:szCs w:val="19"/>
          <w:shd w:val="clear" w:color="auto" w:fill="FFFFFF"/>
        </w:rPr>
      </w:pPr>
    </w:p>
    <w:p w14:paraId="0E1D7E2E" w14:textId="77777777" w:rsidR="00301DF5" w:rsidRDefault="00301DF5" w:rsidP="0041374E">
      <w:pPr>
        <w:rPr>
          <w:szCs w:val="19"/>
          <w:shd w:val="clear" w:color="auto" w:fill="FFFFFF"/>
        </w:rPr>
      </w:pPr>
    </w:p>
    <w:p w14:paraId="1C7E7365" w14:textId="77777777" w:rsidR="00301DF5" w:rsidRDefault="00301DF5" w:rsidP="0041374E">
      <w:pPr>
        <w:rPr>
          <w:szCs w:val="19"/>
          <w:shd w:val="clear" w:color="auto" w:fill="FFFFFF"/>
        </w:rPr>
      </w:pPr>
    </w:p>
    <w:p w14:paraId="3A1DA483" w14:textId="77777777" w:rsidR="00301DF5" w:rsidRDefault="00301DF5" w:rsidP="0041374E">
      <w:pPr>
        <w:rPr>
          <w:szCs w:val="19"/>
          <w:shd w:val="clear" w:color="auto" w:fill="FFFFFF"/>
        </w:rPr>
      </w:pPr>
    </w:p>
    <w:p w14:paraId="54861F1C" w14:textId="0C39874A" w:rsidR="0041374E" w:rsidRDefault="008C5D81" w:rsidP="0041374E">
      <w:pPr>
        <w:rPr>
          <w:szCs w:val="19"/>
          <w:shd w:val="clear" w:color="auto" w:fill="FFFFFF"/>
        </w:rPr>
      </w:pPr>
      <w:r w:rsidRPr="005921E2">
        <w:rPr>
          <w:szCs w:val="19"/>
          <w:shd w:val="clear" w:color="auto" w:fill="FFFFFF"/>
        </w:rPr>
        <w:t>Najwięcej mieszkań</w:t>
      </w:r>
      <w:r w:rsidR="00BB53B6" w:rsidRPr="005921E2">
        <w:rPr>
          <w:szCs w:val="19"/>
          <w:shd w:val="clear" w:color="auto" w:fill="FFFFFF"/>
        </w:rPr>
        <w:t>,</w:t>
      </w:r>
      <w:r w:rsidRPr="005921E2">
        <w:rPr>
          <w:szCs w:val="19"/>
          <w:shd w:val="clear" w:color="auto" w:fill="FFFFFF"/>
        </w:rPr>
        <w:t xml:space="preserve"> na których budowę wydano pozwolenia lub dokonano zgłoszenia </w:t>
      </w:r>
      <w:r w:rsidR="003457E4" w:rsidRPr="005921E2">
        <w:rPr>
          <w:szCs w:val="19"/>
          <w:shd w:val="clear" w:color="auto" w:fill="FFFFFF"/>
        </w:rPr>
        <w:br/>
      </w:r>
      <w:r w:rsidRPr="005921E2">
        <w:rPr>
          <w:szCs w:val="19"/>
          <w:shd w:val="clear" w:color="auto" w:fill="FFFFFF"/>
        </w:rPr>
        <w:t xml:space="preserve">z projektem budowlanym oraz których budowę rozpoczęto </w:t>
      </w:r>
      <w:r w:rsidR="00BB53B6" w:rsidRPr="005921E2">
        <w:rPr>
          <w:szCs w:val="19"/>
          <w:shd w:val="clear" w:color="auto" w:fill="FFFFFF"/>
        </w:rPr>
        <w:t xml:space="preserve">w </w:t>
      </w:r>
      <w:r w:rsidR="004C6B0B">
        <w:rPr>
          <w:szCs w:val="19"/>
          <w:shd w:val="clear" w:color="auto" w:fill="FFFFFF"/>
        </w:rPr>
        <w:t>styczniu</w:t>
      </w:r>
      <w:r w:rsidR="005921E2" w:rsidRPr="005921E2">
        <w:rPr>
          <w:szCs w:val="19"/>
          <w:shd w:val="clear" w:color="auto" w:fill="FFFFFF"/>
        </w:rPr>
        <w:t xml:space="preserve"> </w:t>
      </w:r>
      <w:r w:rsidR="004C6B0B">
        <w:rPr>
          <w:szCs w:val="19"/>
          <w:shd w:val="clear" w:color="auto" w:fill="FFFFFF"/>
        </w:rPr>
        <w:t>2020</w:t>
      </w:r>
      <w:r w:rsidR="000B256C">
        <w:rPr>
          <w:szCs w:val="19"/>
          <w:shd w:val="clear" w:color="auto" w:fill="FFFFFF"/>
        </w:rPr>
        <w:t> </w:t>
      </w:r>
      <w:r w:rsidR="00BB53B6" w:rsidRPr="005921E2">
        <w:rPr>
          <w:szCs w:val="19"/>
          <w:shd w:val="clear" w:color="auto" w:fill="FFFFFF"/>
        </w:rPr>
        <w:t>r</w:t>
      </w:r>
      <w:r w:rsidR="00BB53B6" w:rsidRPr="008F1C42">
        <w:rPr>
          <w:szCs w:val="19"/>
          <w:shd w:val="clear" w:color="auto" w:fill="FFFFFF"/>
        </w:rPr>
        <w:t xml:space="preserve">. </w:t>
      </w:r>
      <w:r w:rsidR="004C6B0B">
        <w:rPr>
          <w:szCs w:val="19"/>
          <w:shd w:val="clear" w:color="auto" w:fill="FFFFFF"/>
        </w:rPr>
        <w:t>odnotowano w </w:t>
      </w:r>
      <w:r w:rsidRPr="005921E2">
        <w:rPr>
          <w:szCs w:val="19"/>
          <w:shd w:val="clear" w:color="auto" w:fill="FFFFFF"/>
        </w:rPr>
        <w:t>wojewód</w:t>
      </w:r>
      <w:r w:rsidR="001030FA" w:rsidRPr="005921E2">
        <w:rPr>
          <w:szCs w:val="19"/>
          <w:shd w:val="clear" w:color="auto" w:fill="FFFFFF"/>
        </w:rPr>
        <w:t>ztwie mazowieckim (</w:t>
      </w:r>
      <w:r w:rsidR="004C6B0B">
        <w:rPr>
          <w:szCs w:val="19"/>
          <w:shd w:val="clear" w:color="auto" w:fill="FFFFFF"/>
        </w:rPr>
        <w:t>odpowiednio 4,0</w:t>
      </w:r>
      <w:r w:rsidR="001030FA" w:rsidRPr="005921E2">
        <w:rPr>
          <w:szCs w:val="19"/>
          <w:shd w:val="clear" w:color="auto" w:fill="FFFFFF"/>
        </w:rPr>
        <w:t xml:space="preserve"> tys.</w:t>
      </w:r>
      <w:r w:rsidR="004C6B0B">
        <w:rPr>
          <w:szCs w:val="19"/>
          <w:shd w:val="clear" w:color="auto" w:fill="FFFFFF"/>
        </w:rPr>
        <w:t xml:space="preserve"> i 3,3</w:t>
      </w:r>
      <w:r w:rsidR="00033D0D" w:rsidRPr="005921E2">
        <w:rPr>
          <w:szCs w:val="19"/>
          <w:shd w:val="clear" w:color="auto" w:fill="FFFFFF"/>
        </w:rPr>
        <w:t xml:space="preserve"> tys.</w:t>
      </w:r>
      <w:r w:rsidR="00D4256C">
        <w:rPr>
          <w:szCs w:val="19"/>
          <w:shd w:val="clear" w:color="auto" w:fill="FFFFFF"/>
        </w:rPr>
        <w:t xml:space="preserve">) i </w:t>
      </w:r>
      <w:r w:rsidR="004A5B1F" w:rsidRPr="004A5B1F">
        <w:rPr>
          <w:szCs w:val="19"/>
          <w:shd w:val="clear" w:color="auto" w:fill="FFFFFF"/>
        </w:rPr>
        <w:t>wielkopolskim (</w:t>
      </w:r>
      <w:r w:rsidR="00301DF5">
        <w:rPr>
          <w:szCs w:val="19"/>
          <w:shd w:val="clear" w:color="auto" w:fill="FFFFFF"/>
        </w:rPr>
        <w:t>2,0 tys. i </w:t>
      </w:r>
      <w:r w:rsidR="004C6B0B">
        <w:rPr>
          <w:szCs w:val="19"/>
          <w:shd w:val="clear" w:color="auto" w:fill="FFFFFF"/>
        </w:rPr>
        <w:t>2</w:t>
      </w:r>
      <w:r w:rsidR="00870421">
        <w:rPr>
          <w:szCs w:val="19"/>
          <w:shd w:val="clear" w:color="auto" w:fill="FFFFFF"/>
        </w:rPr>
        <w:t>,</w:t>
      </w:r>
      <w:r w:rsidR="004C6B0B">
        <w:rPr>
          <w:szCs w:val="19"/>
          <w:shd w:val="clear" w:color="auto" w:fill="FFFFFF"/>
        </w:rPr>
        <w:t>2</w:t>
      </w:r>
      <w:r w:rsidR="00301DF5">
        <w:rPr>
          <w:szCs w:val="19"/>
          <w:shd w:val="clear" w:color="auto" w:fill="FFFFFF"/>
        </w:rPr>
        <w:t> </w:t>
      </w:r>
      <w:r w:rsidR="00D4256C">
        <w:rPr>
          <w:szCs w:val="19"/>
          <w:shd w:val="clear" w:color="auto" w:fill="FFFFFF"/>
        </w:rPr>
        <w:t>tys.)</w:t>
      </w:r>
      <w:r w:rsidR="007F771F">
        <w:rPr>
          <w:szCs w:val="19"/>
          <w:shd w:val="clear" w:color="auto" w:fill="FFFFFF"/>
        </w:rPr>
        <w:t xml:space="preserve">. </w:t>
      </w:r>
      <w:r w:rsidR="0041374E" w:rsidRPr="005921E2">
        <w:rPr>
          <w:szCs w:val="19"/>
          <w:shd w:val="clear" w:color="auto" w:fill="FFFFFF"/>
        </w:rPr>
        <w:t xml:space="preserve">Największą liczbą mieszkań oddanych do użytkowania charakteryzowało się województwo </w:t>
      </w:r>
      <w:r w:rsidR="004C6B0B">
        <w:rPr>
          <w:szCs w:val="19"/>
          <w:shd w:val="clear" w:color="auto" w:fill="FFFFFF"/>
        </w:rPr>
        <w:t>małopolskie</w:t>
      </w:r>
      <w:r w:rsidR="0041374E" w:rsidRPr="005921E2">
        <w:rPr>
          <w:szCs w:val="19"/>
          <w:shd w:val="clear" w:color="auto" w:fill="FFFFFF"/>
        </w:rPr>
        <w:t xml:space="preserve"> </w:t>
      </w:r>
      <w:r w:rsidR="004C6B0B">
        <w:rPr>
          <w:szCs w:val="19"/>
          <w:shd w:val="clear" w:color="auto" w:fill="FFFFFF"/>
        </w:rPr>
        <w:t>(2,8</w:t>
      </w:r>
      <w:r w:rsidR="0041374E" w:rsidRPr="005921E2">
        <w:rPr>
          <w:szCs w:val="19"/>
          <w:shd w:val="clear" w:color="auto" w:fill="FFFFFF"/>
        </w:rPr>
        <w:t xml:space="preserve"> t</w:t>
      </w:r>
      <w:r w:rsidR="007F771F">
        <w:rPr>
          <w:szCs w:val="19"/>
          <w:shd w:val="clear" w:color="auto" w:fill="FFFFFF"/>
        </w:rPr>
        <w:t xml:space="preserve">ys. </w:t>
      </w:r>
      <w:r w:rsidR="00D4256C">
        <w:rPr>
          <w:szCs w:val="19"/>
          <w:shd w:val="clear" w:color="auto" w:fill="FFFFFF"/>
        </w:rPr>
        <w:t>mieszkań) i</w:t>
      </w:r>
      <w:r w:rsidR="00FB21E1">
        <w:rPr>
          <w:szCs w:val="19"/>
          <w:shd w:val="clear" w:color="auto" w:fill="FFFFFF"/>
        </w:rPr>
        <w:t xml:space="preserve"> </w:t>
      </w:r>
      <w:r w:rsidR="004C6B0B">
        <w:rPr>
          <w:szCs w:val="19"/>
          <w:shd w:val="clear" w:color="auto" w:fill="FFFFFF"/>
        </w:rPr>
        <w:t>mazowieckie (2,7</w:t>
      </w:r>
      <w:r w:rsidR="00D4256C">
        <w:rPr>
          <w:szCs w:val="19"/>
          <w:shd w:val="clear" w:color="auto" w:fill="FFFFFF"/>
        </w:rPr>
        <w:t xml:space="preserve"> tys.)</w:t>
      </w:r>
      <w:r w:rsidR="00870421">
        <w:rPr>
          <w:szCs w:val="19"/>
          <w:shd w:val="clear" w:color="auto" w:fill="FFFFFF"/>
        </w:rPr>
        <w:t>.</w:t>
      </w:r>
    </w:p>
    <w:p w14:paraId="7388AE6F" w14:textId="77777777" w:rsidR="008F0617" w:rsidRDefault="008F0617" w:rsidP="0041374E">
      <w:pPr>
        <w:rPr>
          <w:szCs w:val="19"/>
          <w:shd w:val="clear" w:color="auto" w:fill="FFFFFF"/>
        </w:rPr>
      </w:pPr>
    </w:p>
    <w:p w14:paraId="10D588CA" w14:textId="77777777" w:rsidR="00C77B68" w:rsidRDefault="003457E4" w:rsidP="00007AEB">
      <w:pPr>
        <w:spacing w:line="240" w:lineRule="auto"/>
        <w:ind w:left="851" w:hanging="851"/>
        <w:rPr>
          <w:b/>
          <w:sz w:val="18"/>
          <w:szCs w:val="18"/>
        </w:rPr>
      </w:pPr>
      <w:r w:rsidRPr="00127F26">
        <w:rPr>
          <w:b/>
          <w:sz w:val="18"/>
          <w:szCs w:val="18"/>
        </w:rPr>
        <w:t>Wykres</w:t>
      </w:r>
      <w:r w:rsidR="006978FA" w:rsidRPr="00127F26">
        <w:rPr>
          <w:b/>
          <w:sz w:val="18"/>
          <w:szCs w:val="18"/>
        </w:rPr>
        <w:t xml:space="preserve"> 2. </w:t>
      </w:r>
      <w:r w:rsidR="00047CF8" w:rsidRPr="00127F26">
        <w:rPr>
          <w:b/>
          <w:sz w:val="18"/>
          <w:szCs w:val="18"/>
        </w:rPr>
        <w:t xml:space="preserve">Ruch budowlany w obszarze budownictwa mieszkaniowego </w:t>
      </w:r>
      <w:r w:rsidR="006978FA" w:rsidRPr="00127F26">
        <w:rPr>
          <w:b/>
          <w:sz w:val="18"/>
          <w:szCs w:val="18"/>
        </w:rPr>
        <w:t>według województw</w:t>
      </w:r>
      <w:r w:rsidR="00066081">
        <w:rPr>
          <w:b/>
          <w:sz w:val="18"/>
          <w:szCs w:val="18"/>
        </w:rPr>
        <w:t xml:space="preserve"> (</w:t>
      </w:r>
      <w:r w:rsidR="004C6B0B">
        <w:rPr>
          <w:b/>
          <w:sz w:val="18"/>
          <w:szCs w:val="18"/>
        </w:rPr>
        <w:t>styczeń</w:t>
      </w:r>
      <w:r w:rsidR="00C37A03" w:rsidRPr="00127F26">
        <w:rPr>
          <w:b/>
          <w:sz w:val="18"/>
          <w:szCs w:val="18"/>
        </w:rPr>
        <w:t xml:space="preserve"> </w:t>
      </w:r>
      <w:r w:rsidR="004C6B0B">
        <w:rPr>
          <w:b/>
          <w:sz w:val="18"/>
          <w:szCs w:val="18"/>
        </w:rPr>
        <w:t>2020</w:t>
      </w:r>
      <w:r w:rsidR="00047CF8" w:rsidRPr="00127F26">
        <w:rPr>
          <w:b/>
          <w:sz w:val="18"/>
          <w:szCs w:val="18"/>
        </w:rPr>
        <w:t xml:space="preserve"> r.)</w:t>
      </w:r>
      <w:r w:rsidR="00E56DD9" w:rsidRPr="00127F26">
        <w:rPr>
          <w:b/>
          <w:sz w:val="18"/>
          <w:szCs w:val="18"/>
        </w:rPr>
        <w:t xml:space="preserve"> </w:t>
      </w:r>
    </w:p>
    <w:p w14:paraId="50FA1F4D" w14:textId="51AEFD1B" w:rsidR="00785B50" w:rsidRPr="00C77B68" w:rsidRDefault="00C77B68" w:rsidP="00C77B68">
      <w:pPr>
        <w:spacing w:line="240" w:lineRule="auto"/>
        <w:ind w:left="851" w:hanging="851"/>
        <w:rPr>
          <w:b/>
          <w:sz w:val="18"/>
          <w:szCs w:val="18"/>
        </w:rPr>
        <w:sectPr w:rsidR="00785B50" w:rsidRPr="00C77B68" w:rsidSect="00557D7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  <w:r>
        <w:rPr>
          <w:noProof/>
          <w:lang w:eastAsia="pl-PL"/>
        </w:rPr>
        <w:drawing>
          <wp:inline distT="0" distB="0" distL="0" distR="0" wp14:anchorId="3D671A14" wp14:editId="29329A57">
            <wp:extent cx="5122545" cy="3663141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68FA71D" w14:textId="77777777" w:rsidR="0021268C" w:rsidRPr="00033D0D" w:rsidRDefault="0021268C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6"/>
        <w:gridCol w:w="3841"/>
      </w:tblGrid>
      <w:tr w:rsidR="0021268C" w:rsidRPr="0078416C" w14:paraId="2DFB0350" w14:textId="77777777" w:rsidTr="002A3243">
        <w:trPr>
          <w:trHeight w:val="1912"/>
        </w:trPr>
        <w:tc>
          <w:tcPr>
            <w:tcW w:w="4379" w:type="dxa"/>
          </w:tcPr>
          <w:p w14:paraId="700ACAB7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690FBDBF" w14:textId="758706E8" w:rsidR="0021268C" w:rsidRPr="00AD2D79" w:rsidRDefault="00750A83" w:rsidP="002A3243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Urząd Statystyczny w Lublinie</w:t>
            </w:r>
          </w:p>
          <w:p w14:paraId="1BEF3E8D" w14:textId="7AB21E46" w:rsidR="0021268C" w:rsidRPr="00AD2D79" w:rsidRDefault="00F3738B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Dyrektor </w:t>
            </w:r>
            <w:r w:rsidR="0078416C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Krzysztof Markowski</w:t>
            </w:r>
          </w:p>
          <w:p w14:paraId="443F6BDB" w14:textId="4C7749E5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Tel: 81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533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78416C">
              <w:rPr>
                <w:rFonts w:ascii="Fira Sans" w:hAnsi="Fira Sans" w:cs="Arial"/>
                <w:color w:val="auto"/>
                <w:sz w:val="20"/>
                <w:lang w:val="fi-FI"/>
              </w:rPr>
              <w:t>20</w:t>
            </w:r>
            <w:r w:rsidR="002C6D15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78416C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</w:p>
          <w:p w14:paraId="50199915" w14:textId="175AA40B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0112A362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3129788" w14:textId="699A04E3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614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B4C0756" w14:textId="733E0050" w:rsidR="0021268C" w:rsidRPr="008F3638" w:rsidRDefault="0078416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695 255 011</w:t>
            </w:r>
          </w:p>
          <w:p w14:paraId="6EC245C2" w14:textId="0B540946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1BAD3D4" w14:textId="77777777" w:rsidR="0021268C" w:rsidRPr="0021268C" w:rsidRDefault="0021268C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1268C" w14:paraId="252DBE0E" w14:textId="77777777" w:rsidTr="002A3243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75D3598" w14:textId="77777777" w:rsidR="0021268C" w:rsidRPr="00C91687" w:rsidRDefault="0021268C" w:rsidP="002A3243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DDF04B" w14:textId="194E52D6" w:rsidR="0021268C" w:rsidRPr="00C91687" w:rsidRDefault="0021268C" w:rsidP="002A3243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21268C">
              <w:rPr>
                <w:sz w:val="20"/>
              </w:rPr>
              <w:t>:</w:t>
            </w:r>
            <w:r w:rsidR="00D2518C">
              <w:rPr>
                <w:sz w:val="20"/>
              </w:rPr>
              <w:t xml:space="preserve"> 22 608 34</w:t>
            </w:r>
            <w:r w:rsidR="002C6D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91, </w:t>
            </w:r>
            <w:r w:rsidR="00D2518C">
              <w:rPr>
                <w:sz w:val="20"/>
              </w:rPr>
              <w:t>22 608 38</w:t>
            </w:r>
            <w:r w:rsidR="002C6D15"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 xml:space="preserve">04 </w:t>
            </w:r>
          </w:p>
          <w:p w14:paraId="2658528D" w14:textId="77777777" w:rsidR="0021268C" w:rsidRPr="00E8566C" w:rsidRDefault="0021268C" w:rsidP="002A3243">
            <w:pPr>
              <w:rPr>
                <w:b/>
                <w:sz w:val="18"/>
                <w:lang w:val="en-GB"/>
              </w:rPr>
            </w:pPr>
            <w:r w:rsidRPr="00E8566C">
              <w:rPr>
                <w:b/>
                <w:sz w:val="20"/>
                <w:lang w:val="en-GB"/>
              </w:rPr>
              <w:t xml:space="preserve">e-mail: </w:t>
            </w:r>
            <w:hyperlink r:id="rId18" w:history="1">
              <w:r w:rsidRPr="00E8566C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563B4E1" w14:textId="77777777" w:rsidR="0021268C" w:rsidRPr="00E8566C" w:rsidRDefault="0021268C" w:rsidP="002A3243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753DE8BB" wp14:editId="631653D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7D1EE46A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1268C" w14:paraId="2DC875A6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66E0E930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D5EC8ED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A9ADCA1" wp14:editId="520F0CE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84F1AEB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1268C" w14:paraId="0FD9E200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7E5637B2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CA39210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266F5396" wp14:editId="17E66E8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3A2746F4" w14:textId="77777777" w:rsidR="0021268C" w:rsidRDefault="0021268C" w:rsidP="002A3243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34BFC7EF" w14:textId="77777777" w:rsidR="0021268C" w:rsidRPr="0021268C" w:rsidRDefault="0021268C" w:rsidP="0046503D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2AB3A9" wp14:editId="4D8EDE76">
                <wp:simplePos x="0" y="0"/>
                <wp:positionH relativeFrom="margin">
                  <wp:posOffset>27305</wp:posOffset>
                </wp:positionH>
                <wp:positionV relativeFrom="paragraph">
                  <wp:posOffset>337820</wp:posOffset>
                </wp:positionV>
                <wp:extent cx="6096000" cy="4535170"/>
                <wp:effectExtent l="0" t="0" r="1905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D0C7" w14:textId="77777777" w:rsidR="004862B6" w:rsidRDefault="004862B6" w:rsidP="0021268C">
                            <w:pPr>
                              <w:ind w:left="-284"/>
                              <w:rPr>
                                <w:b/>
                              </w:rPr>
                            </w:pPr>
                          </w:p>
                          <w:p w14:paraId="6F185ADA" w14:textId="77777777" w:rsidR="004862B6" w:rsidRPr="00597DE4" w:rsidRDefault="004862B6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Powiązane opracowania</w:t>
                            </w:r>
                          </w:p>
                          <w:p w14:paraId="14624114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14:paraId="186754B0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A6B91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Sytuacja społeczno-gospodarcza </w:t>
                            </w:r>
                            <w:r w:rsidR="00642C4B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kraju</w:t>
                            </w:r>
                          </w:p>
                          <w:p w14:paraId="4F28B529" w14:textId="491CA473" w:rsidR="00707935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2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Efekty działalności budowlanej</w:t>
                              </w:r>
                            </w:hyperlink>
                          </w:p>
                          <w:p w14:paraId="67BABBD6" w14:textId="0B8C8B4A" w:rsidR="00707935" w:rsidRDefault="00E34EEF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Budownictwo</w:t>
                              </w:r>
                            </w:hyperlink>
                          </w:p>
                          <w:p w14:paraId="01C4E7B3" w14:textId="77777777" w:rsidR="00D650EB" w:rsidRPr="00D2518C" w:rsidRDefault="00D650EB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79F9612A" w14:textId="77777777" w:rsidR="00707935" w:rsidRPr="00597DE4" w:rsidRDefault="00707935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Temat dostępny w bazach danych</w:t>
                            </w:r>
                          </w:p>
                          <w:p w14:paraId="6F118FBA" w14:textId="77777777" w:rsidR="00C96F23" w:rsidRPr="00D2518C" w:rsidRDefault="00E34EEF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4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14:paraId="0FC3D313" w14:textId="77777777" w:rsidR="004862B6" w:rsidRPr="00D2518C" w:rsidRDefault="00E34EEF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14:paraId="66854728" w14:textId="77777777" w:rsidR="004862B6" w:rsidRPr="00920799" w:rsidRDefault="00E34EEF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4862B6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2207BFC5" w14:textId="77777777" w:rsidR="00D650EB" w:rsidRPr="00920799" w:rsidRDefault="00D650EB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</w:rPr>
                            </w:pPr>
                          </w:p>
                          <w:p w14:paraId="1E54B42C" w14:textId="77777777" w:rsidR="004862B6" w:rsidRPr="00597DE4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3290BA07" w14:textId="5447FB7F" w:rsidR="004862B6" w:rsidRPr="00920799" w:rsidRDefault="00920799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862B6"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>Mieszkania, na których budowę wydano pozwolenia</w: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 xml:space="preserve"> lub dokonano zgłoszenia z projektem budowlanym</w:t>
                            </w:r>
                          </w:p>
                          <w:p w14:paraId="753D614D" w14:textId="35CCEEA9" w:rsidR="004862B6" w:rsidRPr="00D2518C" w:rsidRDefault="00920799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7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14:paraId="4ECAC11B" w14:textId="77777777" w:rsidR="004862B6" w:rsidRPr="00D2518C" w:rsidRDefault="00E34EEF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14:paraId="535F05A5" w14:textId="77777777"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B3A9" id="_x0000_s1034" type="#_x0000_t202" style="position:absolute;margin-left:2.15pt;margin-top:26.6pt;width:480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" fillcolor="#f2f2f2 [3052]" strokecolor="white [3212]">
                <v:textbox>
                  <w:txbxContent>
                    <w:p w14:paraId="77AAD0C7" w14:textId="77777777" w:rsidR="004862B6" w:rsidRDefault="004862B6" w:rsidP="0021268C">
                      <w:pPr>
                        <w:ind w:left="-284"/>
                        <w:rPr>
                          <w:b/>
                        </w:rPr>
                      </w:pPr>
                    </w:p>
                    <w:p w14:paraId="6F185ADA" w14:textId="77777777" w:rsidR="004862B6" w:rsidRPr="00597DE4" w:rsidRDefault="004862B6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Powiązane opracowania</w:t>
                      </w:r>
                    </w:p>
                    <w:p w14:paraId="14624114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1F3686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Biuletyn Statystyczny</w:t>
                      </w:r>
                    </w:p>
                    <w:p w14:paraId="186754B0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EA6B91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Sytuacja społeczno-gospodarcza </w:t>
                      </w:r>
                      <w:r w:rsidR="00642C4B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kraju</w:t>
                      </w:r>
                    </w:p>
                    <w:p w14:paraId="4F28B529" w14:textId="491CA473" w:rsidR="00707935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29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Efekty działalności budowlanej</w:t>
                        </w:r>
                      </w:hyperlink>
                    </w:p>
                    <w:p w14:paraId="67BABBD6" w14:textId="0B8C8B4A" w:rsidR="00707935" w:rsidRDefault="0098037C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0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Budownictwo</w:t>
                        </w:r>
                      </w:hyperlink>
                    </w:p>
                    <w:p w14:paraId="01C4E7B3" w14:textId="77777777" w:rsidR="00D650EB" w:rsidRPr="00D2518C" w:rsidRDefault="00D650EB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14:paraId="79F9612A" w14:textId="77777777" w:rsidR="00707935" w:rsidRPr="00597DE4" w:rsidRDefault="00707935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Temat dostępny w bazach danych</w:t>
                      </w:r>
                    </w:p>
                    <w:p w14:paraId="6F118FBA" w14:textId="77777777" w:rsidR="00C96F23" w:rsidRPr="00D2518C" w:rsidRDefault="0098037C" w:rsidP="00AB6D25">
                      <w:pPr>
                        <w:rPr>
                          <w:color w:val="001D77"/>
                        </w:rPr>
                      </w:pPr>
                      <w:hyperlink r:id="rId31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14:paraId="0FC3D313" w14:textId="77777777" w:rsidR="004862B6" w:rsidRPr="00D2518C" w:rsidRDefault="0098037C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2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14:paraId="66854728" w14:textId="77777777" w:rsidR="004862B6" w:rsidRPr="00920799" w:rsidRDefault="0098037C" w:rsidP="00AB6D25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4862B6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14:paraId="2207BFC5" w14:textId="77777777" w:rsidR="00D650EB" w:rsidRPr="00920799" w:rsidRDefault="00D650EB" w:rsidP="00AB6D25">
                      <w:pPr>
                        <w:rPr>
                          <w:rStyle w:val="Hipercze"/>
                          <w:rFonts w:cs="Segoe UI"/>
                          <w:color w:val="001D77"/>
                        </w:rPr>
                      </w:pPr>
                    </w:p>
                    <w:p w14:paraId="1E54B42C" w14:textId="77777777" w:rsidR="004862B6" w:rsidRPr="00597DE4" w:rsidRDefault="004862B6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597DE4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14:paraId="3290BA07" w14:textId="5447FB7F" w:rsidR="004862B6" w:rsidRPr="00920799" w:rsidRDefault="00920799" w:rsidP="00AB6D25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4862B6"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Mieszkania, na których budowę wydano pozwolenia</w: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 xml:space="preserve"> lub dokonano zgłoszenia z projektem budowlanym</w:t>
                      </w:r>
                    </w:p>
                    <w:p w14:paraId="753D614D" w14:textId="35CCEEA9" w:rsidR="004862B6" w:rsidRPr="00D2518C" w:rsidRDefault="00920799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4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14:paraId="4ECAC11B" w14:textId="77777777" w:rsidR="004862B6" w:rsidRPr="00D2518C" w:rsidRDefault="0098037C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14:paraId="535F05A5" w14:textId="77777777"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65DC90" w14:textId="77777777" w:rsidR="0021268C" w:rsidRPr="0021268C" w:rsidRDefault="0021268C" w:rsidP="0046503D">
      <w:pPr>
        <w:rPr>
          <w:sz w:val="18"/>
          <w:lang w:val="en-US"/>
        </w:rPr>
      </w:pPr>
    </w:p>
    <w:p w14:paraId="2ACB57C1" w14:textId="77777777" w:rsidR="0021268C" w:rsidRPr="0021268C" w:rsidRDefault="0021268C" w:rsidP="0046503D">
      <w:pPr>
        <w:rPr>
          <w:sz w:val="18"/>
          <w:lang w:val="en-US"/>
        </w:rPr>
      </w:pPr>
    </w:p>
    <w:p w14:paraId="55F25FFA" w14:textId="77777777" w:rsidR="00D261A2" w:rsidRPr="00001C5B" w:rsidRDefault="00D261A2" w:rsidP="0046503D">
      <w:pPr>
        <w:rPr>
          <w:sz w:val="18"/>
        </w:rPr>
      </w:pPr>
    </w:p>
    <w:sectPr w:rsidR="00D261A2" w:rsidRPr="00001C5B" w:rsidSect="00AE4F99">
      <w:headerReference w:type="default" r:id="rId36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3ED00" w14:textId="77777777" w:rsidR="00E34EEF" w:rsidRDefault="00E34EEF" w:rsidP="000662E2">
      <w:pPr>
        <w:spacing w:after="0" w:line="240" w:lineRule="auto"/>
      </w:pPr>
      <w:r>
        <w:separator/>
      </w:r>
    </w:p>
  </w:endnote>
  <w:endnote w:type="continuationSeparator" w:id="0">
    <w:p w14:paraId="7FC08F3F" w14:textId="77777777" w:rsidR="00E34EEF" w:rsidRDefault="00E34EE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972068"/>
      <w:docPartObj>
        <w:docPartGallery w:val="Page Numbers (Bottom of Page)"/>
        <w:docPartUnique/>
      </w:docPartObj>
    </w:sdtPr>
    <w:sdtEndPr/>
    <w:sdtContent>
      <w:p w14:paraId="156E1DF5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9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7FF2CE" w14:textId="77777777"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858318"/>
      <w:docPartObj>
        <w:docPartGallery w:val="Page Numbers (Bottom of Page)"/>
        <w:docPartUnique/>
      </w:docPartObj>
    </w:sdtPr>
    <w:sdtEndPr/>
    <w:sdtContent>
      <w:p w14:paraId="78F900DE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33798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025B0" w14:textId="77777777" w:rsidR="00E34EEF" w:rsidRDefault="00E34EEF" w:rsidP="000662E2">
      <w:pPr>
        <w:spacing w:after="0" w:line="240" w:lineRule="auto"/>
      </w:pPr>
      <w:r>
        <w:separator/>
      </w:r>
    </w:p>
  </w:footnote>
  <w:footnote w:type="continuationSeparator" w:id="0">
    <w:p w14:paraId="5264ECE0" w14:textId="77777777" w:rsidR="00E34EEF" w:rsidRDefault="00E34EEF" w:rsidP="000662E2">
      <w:pPr>
        <w:spacing w:after="0" w:line="240" w:lineRule="auto"/>
      </w:pPr>
      <w:r>
        <w:continuationSeparator/>
      </w:r>
    </w:p>
  </w:footnote>
  <w:footnote w:id="1">
    <w:p w14:paraId="06DCB233" w14:textId="77777777" w:rsidR="006F5529" w:rsidRPr="002C6D15" w:rsidRDefault="006F5529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</w:t>
      </w:r>
      <w:r w:rsidRPr="002C6D15">
        <w:rPr>
          <w:rFonts w:eastAsia="Calibri" w:cs="Times New Roman"/>
          <w:sz w:val="16"/>
          <w:szCs w:val="16"/>
        </w:rPr>
        <w:t>Dane meldunkowe – mogą ulec zmianie po opracowaniu sprawozdań kwartalnych</w:t>
      </w:r>
      <w:r w:rsidR="003476A5" w:rsidRPr="002C6D15">
        <w:rPr>
          <w:rFonts w:eastAsia="Calibri" w:cs="Times New Roman"/>
          <w:sz w:val="16"/>
          <w:szCs w:val="16"/>
        </w:rPr>
        <w:t>.</w:t>
      </w:r>
    </w:p>
  </w:footnote>
  <w:footnote w:id="2">
    <w:p w14:paraId="5BAD0CF1" w14:textId="6A1F7ADE" w:rsidR="00F4008D" w:rsidRPr="002C6D15" w:rsidRDefault="00086360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Ilekroć </w:t>
      </w:r>
      <w:r w:rsidR="00047CF8" w:rsidRPr="002C6D15">
        <w:rPr>
          <w:sz w:val="16"/>
          <w:szCs w:val="16"/>
        </w:rPr>
        <w:t xml:space="preserve">w notatce </w:t>
      </w:r>
      <w:r w:rsidRPr="002C6D15">
        <w:rPr>
          <w:sz w:val="16"/>
          <w:szCs w:val="16"/>
        </w:rPr>
        <w:t xml:space="preserve">jest </w:t>
      </w:r>
      <w:r w:rsidR="00047CF8" w:rsidRPr="002C6D15">
        <w:rPr>
          <w:sz w:val="16"/>
          <w:szCs w:val="16"/>
        </w:rPr>
        <w:t xml:space="preserve">mowa o deweloperach, oznacza to </w:t>
      </w:r>
      <w:r w:rsidRPr="002C6D15">
        <w:rPr>
          <w:sz w:val="16"/>
          <w:szCs w:val="16"/>
        </w:rPr>
        <w:t>budownictwo przeznaczo</w:t>
      </w:r>
      <w:r w:rsidR="00047CF8" w:rsidRPr="002C6D15">
        <w:rPr>
          <w:sz w:val="16"/>
          <w:szCs w:val="16"/>
        </w:rPr>
        <w:t xml:space="preserve">ne na sprzedaż lub wynajem, </w:t>
      </w:r>
      <w:r w:rsidR="0097447F" w:rsidRPr="002C6D15">
        <w:rPr>
          <w:sz w:val="16"/>
          <w:szCs w:val="16"/>
        </w:rPr>
        <w:t>realizowane przez różnych inwestorów z zamiarem osiągnięcia zysku</w:t>
      </w:r>
      <w:r w:rsidR="007E1B1D">
        <w:rPr>
          <w:sz w:val="16"/>
          <w:szCs w:val="16"/>
        </w:rPr>
        <w:t>, natomiast informacje o </w:t>
      </w:r>
      <w:r w:rsidR="009E374D" w:rsidRPr="002C6D15">
        <w:rPr>
          <w:sz w:val="16"/>
          <w:szCs w:val="16"/>
        </w:rPr>
        <w:t>inwestorach i</w:t>
      </w:r>
      <w:r w:rsidR="00047CF8" w:rsidRPr="002C6D15">
        <w:rPr>
          <w:sz w:val="16"/>
          <w:szCs w:val="16"/>
        </w:rPr>
        <w:t xml:space="preserve">ndywidualnych dotyczą </w:t>
      </w:r>
      <w:r w:rsidR="003457E4" w:rsidRPr="002C6D15">
        <w:rPr>
          <w:sz w:val="16"/>
          <w:szCs w:val="16"/>
        </w:rPr>
        <w:t>budownictwa</w:t>
      </w:r>
      <w:r w:rsidR="009E374D" w:rsidRPr="002C6D15">
        <w:rPr>
          <w:sz w:val="16"/>
          <w:szCs w:val="16"/>
        </w:rPr>
        <w:t xml:space="preserve"> realizowane</w:t>
      </w:r>
      <w:r w:rsidR="00047CF8" w:rsidRPr="002C6D15">
        <w:rPr>
          <w:sz w:val="16"/>
          <w:szCs w:val="16"/>
        </w:rPr>
        <w:t>go</w:t>
      </w:r>
      <w:r w:rsidR="009E374D" w:rsidRPr="002C6D15">
        <w:rPr>
          <w:sz w:val="16"/>
          <w:szCs w:val="16"/>
        </w:rPr>
        <w:t xml:space="preserve"> na użytek </w:t>
      </w:r>
      <w:r w:rsidR="008D5D1D" w:rsidRPr="002C6D15">
        <w:rPr>
          <w:sz w:val="16"/>
          <w:szCs w:val="16"/>
        </w:rPr>
        <w:t xml:space="preserve">własny </w:t>
      </w:r>
      <w:r w:rsidR="009E374D" w:rsidRPr="002C6D15">
        <w:rPr>
          <w:sz w:val="16"/>
          <w:szCs w:val="16"/>
        </w:rPr>
        <w:t>inwestora</w:t>
      </w:r>
      <w:r w:rsidR="003476A5" w:rsidRPr="002C6D15">
        <w:rPr>
          <w:sz w:val="16"/>
          <w:szCs w:val="16"/>
        </w:rPr>
        <w:t>.</w:t>
      </w:r>
    </w:p>
  </w:footnote>
  <w:footnote w:id="3">
    <w:p w14:paraId="1CB0ED8B" w14:textId="77777777" w:rsidR="008A44DB" w:rsidRDefault="008A44DB" w:rsidP="008A44DB">
      <w:pPr>
        <w:pStyle w:val="Tekstprzypisudolnego"/>
      </w:pPr>
      <w:r w:rsidRPr="008A44DB">
        <w:rPr>
          <w:rStyle w:val="Odwoanieprzypisudolnego"/>
          <w:sz w:val="16"/>
          <w:szCs w:val="16"/>
        </w:rPr>
        <w:footnoteRef/>
      </w:r>
      <w:r>
        <w:t xml:space="preserve"> </w:t>
      </w:r>
      <w:r w:rsidRPr="008A44DB">
        <w:rPr>
          <w:sz w:val="16"/>
          <w:szCs w:val="16"/>
        </w:rPr>
        <w:t>Realizowane przez różnych inwestorów z zamiarem krótkoterminowego lub długoterminowego wynajmu mieszkań, w tym na podstawie umów najmu instytucjonalnego z dojściem do własności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2860" w14:textId="77777777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6BA303" wp14:editId="7359828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715B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5222AFE2" w14:textId="77777777" w:rsidR="004862B6" w:rsidRDefault="004862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CE6E" w14:textId="77777777" w:rsidR="004862B6" w:rsidRDefault="00112A4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F07597" wp14:editId="62DBFCE4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07B51" w14:textId="13B119E1" w:rsidR="00112A4D" w:rsidRPr="00C97596" w:rsidRDefault="00254171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21.02</w:t>
                          </w:r>
                          <w:r w:rsidR="003B1105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112A4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0759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14:paraId="2CA07B51" w14:textId="13B119E1" w:rsidR="00112A4D" w:rsidRPr="00C97596" w:rsidRDefault="00254171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21.02</w:t>
                    </w:r>
                    <w:r w:rsidR="003B1105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112A4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2C81AB45" wp14:editId="059433E3">
          <wp:extent cx="1360800" cy="756000"/>
          <wp:effectExtent l="0" t="0" r="0" b="6350"/>
          <wp:docPr id="17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973953" wp14:editId="417EDEE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3E2E6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73953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223E2E6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B3ADF4C" wp14:editId="5C953F1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16FE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4A28FC6" wp14:editId="4B729C2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5C1FB" w14:textId="77777777"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28FC6"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FA5C1FB" w14:textId="77777777"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71722" w14:textId="77777777" w:rsidR="004862B6" w:rsidRDefault="004862B6">
    <w:pPr>
      <w:pStyle w:val="Nagwek"/>
    </w:pPr>
  </w:p>
  <w:p w14:paraId="029F43C1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.05pt;height:126.65pt;visibility:visible;mso-wrap-style:square" o:bullet="t">
        <v:imagedata r:id="rId1" o:title=""/>
      </v:shape>
    </w:pict>
  </w:numPicBullet>
  <w:numPicBullet w:numPicBulletId="1">
    <w:pict>
      <v:shape id="_x0000_i1033" type="#_x0000_t75" style="width:125.25pt;height:126.6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866"/>
    <w:rsid w:val="00001C5B"/>
    <w:rsid w:val="00001F8E"/>
    <w:rsid w:val="0000301D"/>
    <w:rsid w:val="00003437"/>
    <w:rsid w:val="000045FF"/>
    <w:rsid w:val="00005657"/>
    <w:rsid w:val="0000709F"/>
    <w:rsid w:val="00007996"/>
    <w:rsid w:val="00007AEB"/>
    <w:rsid w:val="00007BF9"/>
    <w:rsid w:val="000108B8"/>
    <w:rsid w:val="00011182"/>
    <w:rsid w:val="000111EC"/>
    <w:rsid w:val="00013599"/>
    <w:rsid w:val="000152F5"/>
    <w:rsid w:val="000167C7"/>
    <w:rsid w:val="000169EB"/>
    <w:rsid w:val="00016E48"/>
    <w:rsid w:val="00021CD6"/>
    <w:rsid w:val="00024626"/>
    <w:rsid w:val="00027227"/>
    <w:rsid w:val="0003236F"/>
    <w:rsid w:val="00033D0D"/>
    <w:rsid w:val="00035886"/>
    <w:rsid w:val="0003752A"/>
    <w:rsid w:val="000375C3"/>
    <w:rsid w:val="000409DE"/>
    <w:rsid w:val="00042A1D"/>
    <w:rsid w:val="0004500E"/>
    <w:rsid w:val="00045213"/>
    <w:rsid w:val="0004582E"/>
    <w:rsid w:val="000470AA"/>
    <w:rsid w:val="00047CF8"/>
    <w:rsid w:val="000502F4"/>
    <w:rsid w:val="0005122F"/>
    <w:rsid w:val="00053190"/>
    <w:rsid w:val="0005394E"/>
    <w:rsid w:val="00053AF8"/>
    <w:rsid w:val="00055004"/>
    <w:rsid w:val="000565D8"/>
    <w:rsid w:val="00056AD0"/>
    <w:rsid w:val="00057CA1"/>
    <w:rsid w:val="000612F7"/>
    <w:rsid w:val="00061DAF"/>
    <w:rsid w:val="000657FC"/>
    <w:rsid w:val="00066081"/>
    <w:rsid w:val="000662E2"/>
    <w:rsid w:val="00066883"/>
    <w:rsid w:val="000668BF"/>
    <w:rsid w:val="00066B05"/>
    <w:rsid w:val="0007222B"/>
    <w:rsid w:val="00073259"/>
    <w:rsid w:val="00073311"/>
    <w:rsid w:val="00074DD8"/>
    <w:rsid w:val="000761AC"/>
    <w:rsid w:val="00076D95"/>
    <w:rsid w:val="00076F86"/>
    <w:rsid w:val="00077B8C"/>
    <w:rsid w:val="000806F7"/>
    <w:rsid w:val="000809C8"/>
    <w:rsid w:val="00081C1B"/>
    <w:rsid w:val="00084531"/>
    <w:rsid w:val="00086360"/>
    <w:rsid w:val="00086B7D"/>
    <w:rsid w:val="000870D1"/>
    <w:rsid w:val="00090DAE"/>
    <w:rsid w:val="00091304"/>
    <w:rsid w:val="000925FF"/>
    <w:rsid w:val="00094C33"/>
    <w:rsid w:val="000A09E4"/>
    <w:rsid w:val="000A1172"/>
    <w:rsid w:val="000A39FD"/>
    <w:rsid w:val="000A3ACF"/>
    <w:rsid w:val="000A4C12"/>
    <w:rsid w:val="000A4E2A"/>
    <w:rsid w:val="000B0727"/>
    <w:rsid w:val="000B1D63"/>
    <w:rsid w:val="000B256C"/>
    <w:rsid w:val="000B318F"/>
    <w:rsid w:val="000B4DA2"/>
    <w:rsid w:val="000B4E03"/>
    <w:rsid w:val="000B4F0D"/>
    <w:rsid w:val="000C0137"/>
    <w:rsid w:val="000C09C3"/>
    <w:rsid w:val="000C0B2E"/>
    <w:rsid w:val="000C135D"/>
    <w:rsid w:val="000C4E6B"/>
    <w:rsid w:val="000C6E2B"/>
    <w:rsid w:val="000D07D3"/>
    <w:rsid w:val="000D1427"/>
    <w:rsid w:val="000D1D43"/>
    <w:rsid w:val="000D20FE"/>
    <w:rsid w:val="000D225C"/>
    <w:rsid w:val="000D2A5C"/>
    <w:rsid w:val="000D2E0B"/>
    <w:rsid w:val="000E0918"/>
    <w:rsid w:val="000E2DE4"/>
    <w:rsid w:val="000F0212"/>
    <w:rsid w:val="000F156F"/>
    <w:rsid w:val="000F1626"/>
    <w:rsid w:val="000F3D8E"/>
    <w:rsid w:val="000F435D"/>
    <w:rsid w:val="000F6B6E"/>
    <w:rsid w:val="001011C3"/>
    <w:rsid w:val="00101571"/>
    <w:rsid w:val="001030FA"/>
    <w:rsid w:val="001039FA"/>
    <w:rsid w:val="0010569E"/>
    <w:rsid w:val="00105A2D"/>
    <w:rsid w:val="001070E5"/>
    <w:rsid w:val="00110A62"/>
    <w:rsid w:val="00110D87"/>
    <w:rsid w:val="001113A6"/>
    <w:rsid w:val="00112607"/>
    <w:rsid w:val="00112A4D"/>
    <w:rsid w:val="00113A2A"/>
    <w:rsid w:val="00114DB9"/>
    <w:rsid w:val="00114DEC"/>
    <w:rsid w:val="00115520"/>
    <w:rsid w:val="00116087"/>
    <w:rsid w:val="00120701"/>
    <w:rsid w:val="00121455"/>
    <w:rsid w:val="0012289A"/>
    <w:rsid w:val="00122F7C"/>
    <w:rsid w:val="00123367"/>
    <w:rsid w:val="00127150"/>
    <w:rsid w:val="00127C74"/>
    <w:rsid w:val="00127D4E"/>
    <w:rsid w:val="00127F26"/>
    <w:rsid w:val="00130296"/>
    <w:rsid w:val="001310B7"/>
    <w:rsid w:val="00131962"/>
    <w:rsid w:val="0013232F"/>
    <w:rsid w:val="00134E2D"/>
    <w:rsid w:val="001409E1"/>
    <w:rsid w:val="001423B6"/>
    <w:rsid w:val="001425F1"/>
    <w:rsid w:val="001448A7"/>
    <w:rsid w:val="00146621"/>
    <w:rsid w:val="001467DB"/>
    <w:rsid w:val="00147118"/>
    <w:rsid w:val="00152273"/>
    <w:rsid w:val="00152BFE"/>
    <w:rsid w:val="00162325"/>
    <w:rsid w:val="00163C91"/>
    <w:rsid w:val="00164CF6"/>
    <w:rsid w:val="00165D6F"/>
    <w:rsid w:val="00174825"/>
    <w:rsid w:val="00175380"/>
    <w:rsid w:val="001753B5"/>
    <w:rsid w:val="00175AE8"/>
    <w:rsid w:val="0017779B"/>
    <w:rsid w:val="00177A36"/>
    <w:rsid w:val="00177DD6"/>
    <w:rsid w:val="001821C4"/>
    <w:rsid w:val="001823A4"/>
    <w:rsid w:val="001850EA"/>
    <w:rsid w:val="001852BE"/>
    <w:rsid w:val="00186B6B"/>
    <w:rsid w:val="0018730D"/>
    <w:rsid w:val="00187A74"/>
    <w:rsid w:val="0019166D"/>
    <w:rsid w:val="00193519"/>
    <w:rsid w:val="00194103"/>
    <w:rsid w:val="001945FA"/>
    <w:rsid w:val="001951DA"/>
    <w:rsid w:val="001952F2"/>
    <w:rsid w:val="00195767"/>
    <w:rsid w:val="00195C5A"/>
    <w:rsid w:val="00196493"/>
    <w:rsid w:val="001A4380"/>
    <w:rsid w:val="001A55D0"/>
    <w:rsid w:val="001A6A6A"/>
    <w:rsid w:val="001A6EC1"/>
    <w:rsid w:val="001B1CE5"/>
    <w:rsid w:val="001B2F6C"/>
    <w:rsid w:val="001B38EE"/>
    <w:rsid w:val="001B3932"/>
    <w:rsid w:val="001B48A8"/>
    <w:rsid w:val="001B4968"/>
    <w:rsid w:val="001B4DCC"/>
    <w:rsid w:val="001C0B7D"/>
    <w:rsid w:val="001C3269"/>
    <w:rsid w:val="001C3694"/>
    <w:rsid w:val="001C3FF0"/>
    <w:rsid w:val="001D02DA"/>
    <w:rsid w:val="001D03B4"/>
    <w:rsid w:val="001D1018"/>
    <w:rsid w:val="001D1DB4"/>
    <w:rsid w:val="001D270F"/>
    <w:rsid w:val="001D2AD6"/>
    <w:rsid w:val="001D37BB"/>
    <w:rsid w:val="001D651F"/>
    <w:rsid w:val="001E02B7"/>
    <w:rsid w:val="001E307A"/>
    <w:rsid w:val="001E475A"/>
    <w:rsid w:val="001E482E"/>
    <w:rsid w:val="001E7919"/>
    <w:rsid w:val="001F2005"/>
    <w:rsid w:val="001F23B3"/>
    <w:rsid w:val="001F31BD"/>
    <w:rsid w:val="001F3686"/>
    <w:rsid w:val="001F5E14"/>
    <w:rsid w:val="001F649C"/>
    <w:rsid w:val="001F6CD0"/>
    <w:rsid w:val="0020139E"/>
    <w:rsid w:val="00202E71"/>
    <w:rsid w:val="002056B1"/>
    <w:rsid w:val="00207360"/>
    <w:rsid w:val="00210A6F"/>
    <w:rsid w:val="0021268C"/>
    <w:rsid w:val="00213DF1"/>
    <w:rsid w:val="00216F21"/>
    <w:rsid w:val="002173E8"/>
    <w:rsid w:val="00217D5E"/>
    <w:rsid w:val="002217A8"/>
    <w:rsid w:val="0022605C"/>
    <w:rsid w:val="00226CDB"/>
    <w:rsid w:val="00226D83"/>
    <w:rsid w:val="002308C6"/>
    <w:rsid w:val="00231001"/>
    <w:rsid w:val="0023461B"/>
    <w:rsid w:val="00237327"/>
    <w:rsid w:val="00240ECE"/>
    <w:rsid w:val="002452B8"/>
    <w:rsid w:val="00247C71"/>
    <w:rsid w:val="00252C19"/>
    <w:rsid w:val="00254171"/>
    <w:rsid w:val="00254FBD"/>
    <w:rsid w:val="002566A2"/>
    <w:rsid w:val="00257031"/>
    <w:rsid w:val="002574F9"/>
    <w:rsid w:val="002606E1"/>
    <w:rsid w:val="00260AC7"/>
    <w:rsid w:val="002615C6"/>
    <w:rsid w:val="00264835"/>
    <w:rsid w:val="0026524A"/>
    <w:rsid w:val="00266DD9"/>
    <w:rsid w:val="00270874"/>
    <w:rsid w:val="002722B3"/>
    <w:rsid w:val="00276811"/>
    <w:rsid w:val="00277F85"/>
    <w:rsid w:val="0028004D"/>
    <w:rsid w:val="00282699"/>
    <w:rsid w:val="00283009"/>
    <w:rsid w:val="00291BB9"/>
    <w:rsid w:val="00292177"/>
    <w:rsid w:val="00292388"/>
    <w:rsid w:val="002926DF"/>
    <w:rsid w:val="00296697"/>
    <w:rsid w:val="00296B74"/>
    <w:rsid w:val="00296F96"/>
    <w:rsid w:val="002A0BDE"/>
    <w:rsid w:val="002A0E7B"/>
    <w:rsid w:val="002A0F08"/>
    <w:rsid w:val="002A0F5D"/>
    <w:rsid w:val="002A3546"/>
    <w:rsid w:val="002A3E41"/>
    <w:rsid w:val="002A42E3"/>
    <w:rsid w:val="002A4348"/>
    <w:rsid w:val="002A4388"/>
    <w:rsid w:val="002A518A"/>
    <w:rsid w:val="002A63A5"/>
    <w:rsid w:val="002A6EC1"/>
    <w:rsid w:val="002A7DB8"/>
    <w:rsid w:val="002B0009"/>
    <w:rsid w:val="002B0472"/>
    <w:rsid w:val="002B04B3"/>
    <w:rsid w:val="002B18C6"/>
    <w:rsid w:val="002B3036"/>
    <w:rsid w:val="002B6B12"/>
    <w:rsid w:val="002B6B7B"/>
    <w:rsid w:val="002C424B"/>
    <w:rsid w:val="002C4336"/>
    <w:rsid w:val="002C6D15"/>
    <w:rsid w:val="002D0AC4"/>
    <w:rsid w:val="002D1DA5"/>
    <w:rsid w:val="002D2ECD"/>
    <w:rsid w:val="002D36F4"/>
    <w:rsid w:val="002D51CC"/>
    <w:rsid w:val="002E13A8"/>
    <w:rsid w:val="002E3DCB"/>
    <w:rsid w:val="002E42E3"/>
    <w:rsid w:val="002E6140"/>
    <w:rsid w:val="002E6985"/>
    <w:rsid w:val="002E6EAA"/>
    <w:rsid w:val="002E71B6"/>
    <w:rsid w:val="002F1617"/>
    <w:rsid w:val="002F1F42"/>
    <w:rsid w:val="002F5333"/>
    <w:rsid w:val="002F77C8"/>
    <w:rsid w:val="0030115B"/>
    <w:rsid w:val="00301DF5"/>
    <w:rsid w:val="00304F22"/>
    <w:rsid w:val="00305979"/>
    <w:rsid w:val="00305F35"/>
    <w:rsid w:val="00306485"/>
    <w:rsid w:val="003067CB"/>
    <w:rsid w:val="00306C7C"/>
    <w:rsid w:val="00310E69"/>
    <w:rsid w:val="003133B6"/>
    <w:rsid w:val="00315805"/>
    <w:rsid w:val="00320924"/>
    <w:rsid w:val="00322EDD"/>
    <w:rsid w:val="003231A1"/>
    <w:rsid w:val="00324C9B"/>
    <w:rsid w:val="00332263"/>
    <w:rsid w:val="00332320"/>
    <w:rsid w:val="0033525D"/>
    <w:rsid w:val="0033611E"/>
    <w:rsid w:val="00336412"/>
    <w:rsid w:val="00341966"/>
    <w:rsid w:val="003426AA"/>
    <w:rsid w:val="00342DCF"/>
    <w:rsid w:val="00343A88"/>
    <w:rsid w:val="003457E4"/>
    <w:rsid w:val="0034661C"/>
    <w:rsid w:val="00346C98"/>
    <w:rsid w:val="00347649"/>
    <w:rsid w:val="003476A5"/>
    <w:rsid w:val="00347C1F"/>
    <w:rsid w:val="00347D72"/>
    <w:rsid w:val="00347DB2"/>
    <w:rsid w:val="00350F22"/>
    <w:rsid w:val="00352354"/>
    <w:rsid w:val="003523EB"/>
    <w:rsid w:val="003531A5"/>
    <w:rsid w:val="00355643"/>
    <w:rsid w:val="00355AF4"/>
    <w:rsid w:val="00357611"/>
    <w:rsid w:val="00357F43"/>
    <w:rsid w:val="00360C3A"/>
    <w:rsid w:val="003613E6"/>
    <w:rsid w:val="00361EDA"/>
    <w:rsid w:val="003621DC"/>
    <w:rsid w:val="00362216"/>
    <w:rsid w:val="003623FA"/>
    <w:rsid w:val="003627FC"/>
    <w:rsid w:val="003651C8"/>
    <w:rsid w:val="00365F22"/>
    <w:rsid w:val="00366879"/>
    <w:rsid w:val="00367237"/>
    <w:rsid w:val="0037077F"/>
    <w:rsid w:val="00370DBD"/>
    <w:rsid w:val="00371757"/>
    <w:rsid w:val="00371C7E"/>
    <w:rsid w:val="00373882"/>
    <w:rsid w:val="00373C02"/>
    <w:rsid w:val="00374B96"/>
    <w:rsid w:val="00375215"/>
    <w:rsid w:val="0037526E"/>
    <w:rsid w:val="003802E8"/>
    <w:rsid w:val="00380DD8"/>
    <w:rsid w:val="00383B0F"/>
    <w:rsid w:val="003843DB"/>
    <w:rsid w:val="003854ED"/>
    <w:rsid w:val="00385767"/>
    <w:rsid w:val="00386D02"/>
    <w:rsid w:val="00387C01"/>
    <w:rsid w:val="003902D5"/>
    <w:rsid w:val="0039173C"/>
    <w:rsid w:val="003931C0"/>
    <w:rsid w:val="0039373A"/>
    <w:rsid w:val="00393761"/>
    <w:rsid w:val="003947E0"/>
    <w:rsid w:val="00395881"/>
    <w:rsid w:val="00395913"/>
    <w:rsid w:val="00395F5C"/>
    <w:rsid w:val="003973C9"/>
    <w:rsid w:val="00397D18"/>
    <w:rsid w:val="003A0362"/>
    <w:rsid w:val="003A09C1"/>
    <w:rsid w:val="003A0F9F"/>
    <w:rsid w:val="003A18A4"/>
    <w:rsid w:val="003A1B36"/>
    <w:rsid w:val="003A2F3A"/>
    <w:rsid w:val="003A4F62"/>
    <w:rsid w:val="003A5793"/>
    <w:rsid w:val="003B02F7"/>
    <w:rsid w:val="003B1105"/>
    <w:rsid w:val="003B1454"/>
    <w:rsid w:val="003B2DB6"/>
    <w:rsid w:val="003B40D7"/>
    <w:rsid w:val="003B6350"/>
    <w:rsid w:val="003B6AEB"/>
    <w:rsid w:val="003B6BE3"/>
    <w:rsid w:val="003C0165"/>
    <w:rsid w:val="003C0C64"/>
    <w:rsid w:val="003C1BFD"/>
    <w:rsid w:val="003C34BC"/>
    <w:rsid w:val="003C59E0"/>
    <w:rsid w:val="003C677F"/>
    <w:rsid w:val="003C6BD1"/>
    <w:rsid w:val="003C6C8D"/>
    <w:rsid w:val="003D0B5F"/>
    <w:rsid w:val="003D0F50"/>
    <w:rsid w:val="003D1203"/>
    <w:rsid w:val="003D3C6E"/>
    <w:rsid w:val="003D4F95"/>
    <w:rsid w:val="003D5F42"/>
    <w:rsid w:val="003D60A9"/>
    <w:rsid w:val="003E2C2A"/>
    <w:rsid w:val="003E37F1"/>
    <w:rsid w:val="003E6F61"/>
    <w:rsid w:val="003E7C6E"/>
    <w:rsid w:val="003E7DE1"/>
    <w:rsid w:val="003F13A9"/>
    <w:rsid w:val="003F1512"/>
    <w:rsid w:val="003F36A3"/>
    <w:rsid w:val="003F4C97"/>
    <w:rsid w:val="003F53CA"/>
    <w:rsid w:val="003F60A7"/>
    <w:rsid w:val="003F68D3"/>
    <w:rsid w:val="003F7FE6"/>
    <w:rsid w:val="00400193"/>
    <w:rsid w:val="00400B65"/>
    <w:rsid w:val="00401DB3"/>
    <w:rsid w:val="00403557"/>
    <w:rsid w:val="004107A5"/>
    <w:rsid w:val="0041140C"/>
    <w:rsid w:val="004118C3"/>
    <w:rsid w:val="00412E8A"/>
    <w:rsid w:val="004130BC"/>
    <w:rsid w:val="0041374E"/>
    <w:rsid w:val="004177EF"/>
    <w:rsid w:val="004212E7"/>
    <w:rsid w:val="0042205E"/>
    <w:rsid w:val="00422CE6"/>
    <w:rsid w:val="00423192"/>
    <w:rsid w:val="004231A6"/>
    <w:rsid w:val="00423D40"/>
    <w:rsid w:val="0042446D"/>
    <w:rsid w:val="0042453E"/>
    <w:rsid w:val="00425964"/>
    <w:rsid w:val="004266F7"/>
    <w:rsid w:val="00427281"/>
    <w:rsid w:val="00427640"/>
    <w:rsid w:val="00427BF8"/>
    <w:rsid w:val="00431422"/>
    <w:rsid w:val="00431C02"/>
    <w:rsid w:val="004327B6"/>
    <w:rsid w:val="0043307C"/>
    <w:rsid w:val="004347B4"/>
    <w:rsid w:val="00434C10"/>
    <w:rsid w:val="00434C9F"/>
    <w:rsid w:val="00435BD0"/>
    <w:rsid w:val="00436E98"/>
    <w:rsid w:val="00437395"/>
    <w:rsid w:val="00440098"/>
    <w:rsid w:val="0044028F"/>
    <w:rsid w:val="00440E30"/>
    <w:rsid w:val="00443BB1"/>
    <w:rsid w:val="00443D0E"/>
    <w:rsid w:val="00444B75"/>
    <w:rsid w:val="00445047"/>
    <w:rsid w:val="00445E43"/>
    <w:rsid w:val="004466B1"/>
    <w:rsid w:val="00450E62"/>
    <w:rsid w:val="00452007"/>
    <w:rsid w:val="00454004"/>
    <w:rsid w:val="00460904"/>
    <w:rsid w:val="00460DA9"/>
    <w:rsid w:val="00460EB6"/>
    <w:rsid w:val="00461D15"/>
    <w:rsid w:val="00462A63"/>
    <w:rsid w:val="00463534"/>
    <w:rsid w:val="00463E39"/>
    <w:rsid w:val="00464683"/>
    <w:rsid w:val="00464D4F"/>
    <w:rsid w:val="0046503D"/>
    <w:rsid w:val="004657FC"/>
    <w:rsid w:val="00467EFF"/>
    <w:rsid w:val="00473035"/>
    <w:rsid w:val="004733F6"/>
    <w:rsid w:val="0047387B"/>
    <w:rsid w:val="00474753"/>
    <w:rsid w:val="00474944"/>
    <w:rsid w:val="00474E69"/>
    <w:rsid w:val="00477DD8"/>
    <w:rsid w:val="00484901"/>
    <w:rsid w:val="00484E17"/>
    <w:rsid w:val="004862B6"/>
    <w:rsid w:val="00486543"/>
    <w:rsid w:val="004937A5"/>
    <w:rsid w:val="00493B1C"/>
    <w:rsid w:val="004949CA"/>
    <w:rsid w:val="0049621B"/>
    <w:rsid w:val="004963DE"/>
    <w:rsid w:val="00497CE2"/>
    <w:rsid w:val="004A07C1"/>
    <w:rsid w:val="004A284F"/>
    <w:rsid w:val="004A3BC8"/>
    <w:rsid w:val="004A4641"/>
    <w:rsid w:val="004A5B1F"/>
    <w:rsid w:val="004B4738"/>
    <w:rsid w:val="004B628B"/>
    <w:rsid w:val="004B7867"/>
    <w:rsid w:val="004C1895"/>
    <w:rsid w:val="004C29C1"/>
    <w:rsid w:val="004C2A13"/>
    <w:rsid w:val="004C44A5"/>
    <w:rsid w:val="004C48C5"/>
    <w:rsid w:val="004C5067"/>
    <w:rsid w:val="004C6B0B"/>
    <w:rsid w:val="004C6D40"/>
    <w:rsid w:val="004D06AC"/>
    <w:rsid w:val="004D107E"/>
    <w:rsid w:val="004D1586"/>
    <w:rsid w:val="004D4D5A"/>
    <w:rsid w:val="004D5EE7"/>
    <w:rsid w:val="004D665D"/>
    <w:rsid w:val="004D6D43"/>
    <w:rsid w:val="004E0216"/>
    <w:rsid w:val="004E0542"/>
    <w:rsid w:val="004E1A89"/>
    <w:rsid w:val="004E221F"/>
    <w:rsid w:val="004F0C3C"/>
    <w:rsid w:val="004F2A2C"/>
    <w:rsid w:val="004F4FCA"/>
    <w:rsid w:val="004F5A9B"/>
    <w:rsid w:val="004F63FC"/>
    <w:rsid w:val="004F64F0"/>
    <w:rsid w:val="004F6903"/>
    <w:rsid w:val="005027A8"/>
    <w:rsid w:val="00502EF2"/>
    <w:rsid w:val="00503622"/>
    <w:rsid w:val="00505A92"/>
    <w:rsid w:val="00507AB5"/>
    <w:rsid w:val="00507D35"/>
    <w:rsid w:val="005105EB"/>
    <w:rsid w:val="00510D8A"/>
    <w:rsid w:val="00512F05"/>
    <w:rsid w:val="005149CE"/>
    <w:rsid w:val="0051691A"/>
    <w:rsid w:val="005203F1"/>
    <w:rsid w:val="005206F5"/>
    <w:rsid w:val="00520DD1"/>
    <w:rsid w:val="00521BC3"/>
    <w:rsid w:val="005241EA"/>
    <w:rsid w:val="0052510F"/>
    <w:rsid w:val="00525CAC"/>
    <w:rsid w:val="00525FB7"/>
    <w:rsid w:val="00527E6B"/>
    <w:rsid w:val="00533632"/>
    <w:rsid w:val="00533FC2"/>
    <w:rsid w:val="00535F4C"/>
    <w:rsid w:val="00535FF8"/>
    <w:rsid w:val="00536846"/>
    <w:rsid w:val="0054251F"/>
    <w:rsid w:val="00544CA7"/>
    <w:rsid w:val="00545385"/>
    <w:rsid w:val="00545A03"/>
    <w:rsid w:val="00546790"/>
    <w:rsid w:val="005472E2"/>
    <w:rsid w:val="005476EB"/>
    <w:rsid w:val="00547737"/>
    <w:rsid w:val="005501C7"/>
    <w:rsid w:val="00550618"/>
    <w:rsid w:val="005514D5"/>
    <w:rsid w:val="005520D8"/>
    <w:rsid w:val="00552939"/>
    <w:rsid w:val="00553B0B"/>
    <w:rsid w:val="0055460F"/>
    <w:rsid w:val="00556CF1"/>
    <w:rsid w:val="0055770D"/>
    <w:rsid w:val="00557D75"/>
    <w:rsid w:val="00561AEB"/>
    <w:rsid w:val="00561CC0"/>
    <w:rsid w:val="00562EC2"/>
    <w:rsid w:val="00566275"/>
    <w:rsid w:val="005662CD"/>
    <w:rsid w:val="00567A72"/>
    <w:rsid w:val="00567F82"/>
    <w:rsid w:val="0057603C"/>
    <w:rsid w:val="00576096"/>
    <w:rsid w:val="005762A7"/>
    <w:rsid w:val="005776E0"/>
    <w:rsid w:val="00577BDE"/>
    <w:rsid w:val="00581240"/>
    <w:rsid w:val="00581324"/>
    <w:rsid w:val="00582ED4"/>
    <w:rsid w:val="00585630"/>
    <w:rsid w:val="005861A1"/>
    <w:rsid w:val="00590BB1"/>
    <w:rsid w:val="005916D7"/>
    <w:rsid w:val="00591FDF"/>
    <w:rsid w:val="005921E2"/>
    <w:rsid w:val="00593FB5"/>
    <w:rsid w:val="005943D2"/>
    <w:rsid w:val="00594802"/>
    <w:rsid w:val="00595F5A"/>
    <w:rsid w:val="00597DE4"/>
    <w:rsid w:val="005A30AB"/>
    <w:rsid w:val="005A37DA"/>
    <w:rsid w:val="005A526E"/>
    <w:rsid w:val="005A698C"/>
    <w:rsid w:val="005B75B9"/>
    <w:rsid w:val="005C0216"/>
    <w:rsid w:val="005C114C"/>
    <w:rsid w:val="005C16BE"/>
    <w:rsid w:val="005C4A86"/>
    <w:rsid w:val="005C4E91"/>
    <w:rsid w:val="005C56E1"/>
    <w:rsid w:val="005C5A51"/>
    <w:rsid w:val="005C747C"/>
    <w:rsid w:val="005C763D"/>
    <w:rsid w:val="005C764C"/>
    <w:rsid w:val="005C7EE7"/>
    <w:rsid w:val="005D01B4"/>
    <w:rsid w:val="005D2FB0"/>
    <w:rsid w:val="005D6F87"/>
    <w:rsid w:val="005E0799"/>
    <w:rsid w:val="005E4173"/>
    <w:rsid w:val="005E48B2"/>
    <w:rsid w:val="005E4E00"/>
    <w:rsid w:val="005E55FE"/>
    <w:rsid w:val="005F302D"/>
    <w:rsid w:val="005F4A3B"/>
    <w:rsid w:val="005F5129"/>
    <w:rsid w:val="005F5A80"/>
    <w:rsid w:val="005F5FD8"/>
    <w:rsid w:val="00603187"/>
    <w:rsid w:val="006044FF"/>
    <w:rsid w:val="00604C78"/>
    <w:rsid w:val="006051FC"/>
    <w:rsid w:val="00607CC5"/>
    <w:rsid w:val="006102AA"/>
    <w:rsid w:val="00610DCD"/>
    <w:rsid w:val="00612D21"/>
    <w:rsid w:val="0061791A"/>
    <w:rsid w:val="00620DC3"/>
    <w:rsid w:val="00621F5F"/>
    <w:rsid w:val="006238DF"/>
    <w:rsid w:val="00625603"/>
    <w:rsid w:val="00626112"/>
    <w:rsid w:val="006263DA"/>
    <w:rsid w:val="0062658A"/>
    <w:rsid w:val="00626952"/>
    <w:rsid w:val="00626D87"/>
    <w:rsid w:val="00627CBE"/>
    <w:rsid w:val="006318DA"/>
    <w:rsid w:val="00633014"/>
    <w:rsid w:val="0063437B"/>
    <w:rsid w:val="00640585"/>
    <w:rsid w:val="00642C4B"/>
    <w:rsid w:val="00646D6F"/>
    <w:rsid w:val="00661419"/>
    <w:rsid w:val="006631D9"/>
    <w:rsid w:val="00664589"/>
    <w:rsid w:val="006673CA"/>
    <w:rsid w:val="00667D6F"/>
    <w:rsid w:val="00670AB6"/>
    <w:rsid w:val="00671511"/>
    <w:rsid w:val="006720A1"/>
    <w:rsid w:val="00673657"/>
    <w:rsid w:val="00673BE0"/>
    <w:rsid w:val="00673C26"/>
    <w:rsid w:val="00674508"/>
    <w:rsid w:val="00674ABE"/>
    <w:rsid w:val="00677F45"/>
    <w:rsid w:val="0068038E"/>
    <w:rsid w:val="006812AF"/>
    <w:rsid w:val="0068184F"/>
    <w:rsid w:val="00682331"/>
    <w:rsid w:val="0068327D"/>
    <w:rsid w:val="00685F86"/>
    <w:rsid w:val="00690C38"/>
    <w:rsid w:val="00693C83"/>
    <w:rsid w:val="00694AF0"/>
    <w:rsid w:val="006969C0"/>
    <w:rsid w:val="006978FA"/>
    <w:rsid w:val="006A0A6A"/>
    <w:rsid w:val="006A1938"/>
    <w:rsid w:val="006A37E8"/>
    <w:rsid w:val="006A6B61"/>
    <w:rsid w:val="006A6DB6"/>
    <w:rsid w:val="006B0E9E"/>
    <w:rsid w:val="006B14C5"/>
    <w:rsid w:val="006B25A7"/>
    <w:rsid w:val="006B3ACC"/>
    <w:rsid w:val="006B52E4"/>
    <w:rsid w:val="006B5AE4"/>
    <w:rsid w:val="006B5D9A"/>
    <w:rsid w:val="006B6187"/>
    <w:rsid w:val="006C33EC"/>
    <w:rsid w:val="006C4AF3"/>
    <w:rsid w:val="006C4BEC"/>
    <w:rsid w:val="006C5216"/>
    <w:rsid w:val="006C6D12"/>
    <w:rsid w:val="006D07A2"/>
    <w:rsid w:val="006D109D"/>
    <w:rsid w:val="006D1926"/>
    <w:rsid w:val="006D4054"/>
    <w:rsid w:val="006D4186"/>
    <w:rsid w:val="006D4BD3"/>
    <w:rsid w:val="006D5ACE"/>
    <w:rsid w:val="006E02EC"/>
    <w:rsid w:val="006E0A1C"/>
    <w:rsid w:val="006E0C18"/>
    <w:rsid w:val="006E2350"/>
    <w:rsid w:val="006E2C25"/>
    <w:rsid w:val="006E43C9"/>
    <w:rsid w:val="006E4CDB"/>
    <w:rsid w:val="006E4D66"/>
    <w:rsid w:val="006E5888"/>
    <w:rsid w:val="006E6053"/>
    <w:rsid w:val="006E76CB"/>
    <w:rsid w:val="006F059C"/>
    <w:rsid w:val="006F4D00"/>
    <w:rsid w:val="006F4DB5"/>
    <w:rsid w:val="006F5529"/>
    <w:rsid w:val="006F5EF5"/>
    <w:rsid w:val="00703FFE"/>
    <w:rsid w:val="00707935"/>
    <w:rsid w:val="00710621"/>
    <w:rsid w:val="00710CD3"/>
    <w:rsid w:val="0071467D"/>
    <w:rsid w:val="00714A99"/>
    <w:rsid w:val="007162C8"/>
    <w:rsid w:val="0071752E"/>
    <w:rsid w:val="00717B53"/>
    <w:rsid w:val="007208F1"/>
    <w:rsid w:val="007211B1"/>
    <w:rsid w:val="00721509"/>
    <w:rsid w:val="0072216F"/>
    <w:rsid w:val="0072272D"/>
    <w:rsid w:val="00724FB4"/>
    <w:rsid w:val="007317DF"/>
    <w:rsid w:val="0073330A"/>
    <w:rsid w:val="00734924"/>
    <w:rsid w:val="00735E92"/>
    <w:rsid w:val="00737DCC"/>
    <w:rsid w:val="00741554"/>
    <w:rsid w:val="00743232"/>
    <w:rsid w:val="00743BDF"/>
    <w:rsid w:val="00746187"/>
    <w:rsid w:val="00750A83"/>
    <w:rsid w:val="00753265"/>
    <w:rsid w:val="00753DA3"/>
    <w:rsid w:val="0075636C"/>
    <w:rsid w:val="00756B32"/>
    <w:rsid w:val="0076234C"/>
    <w:rsid w:val="0076254F"/>
    <w:rsid w:val="0076349B"/>
    <w:rsid w:val="00763711"/>
    <w:rsid w:val="0076475E"/>
    <w:rsid w:val="00766E80"/>
    <w:rsid w:val="007702BD"/>
    <w:rsid w:val="00770725"/>
    <w:rsid w:val="00771D52"/>
    <w:rsid w:val="00773B09"/>
    <w:rsid w:val="00773CF3"/>
    <w:rsid w:val="00774F4E"/>
    <w:rsid w:val="00777957"/>
    <w:rsid w:val="007801F5"/>
    <w:rsid w:val="00780316"/>
    <w:rsid w:val="0078199D"/>
    <w:rsid w:val="00783473"/>
    <w:rsid w:val="00783CA4"/>
    <w:rsid w:val="0078416C"/>
    <w:rsid w:val="007842FB"/>
    <w:rsid w:val="00785B50"/>
    <w:rsid w:val="00786124"/>
    <w:rsid w:val="00786B8A"/>
    <w:rsid w:val="00790113"/>
    <w:rsid w:val="007904A3"/>
    <w:rsid w:val="00792040"/>
    <w:rsid w:val="00793D18"/>
    <w:rsid w:val="0079498A"/>
    <w:rsid w:val="0079514B"/>
    <w:rsid w:val="00797294"/>
    <w:rsid w:val="007A1014"/>
    <w:rsid w:val="007A2DC1"/>
    <w:rsid w:val="007A41A9"/>
    <w:rsid w:val="007A5CB7"/>
    <w:rsid w:val="007B0E35"/>
    <w:rsid w:val="007B2673"/>
    <w:rsid w:val="007B3DB7"/>
    <w:rsid w:val="007B4F73"/>
    <w:rsid w:val="007B78D0"/>
    <w:rsid w:val="007C198E"/>
    <w:rsid w:val="007C2031"/>
    <w:rsid w:val="007C2970"/>
    <w:rsid w:val="007C2C9F"/>
    <w:rsid w:val="007C3D00"/>
    <w:rsid w:val="007C4EF9"/>
    <w:rsid w:val="007C792E"/>
    <w:rsid w:val="007D1F83"/>
    <w:rsid w:val="007D209F"/>
    <w:rsid w:val="007D2B2C"/>
    <w:rsid w:val="007D3319"/>
    <w:rsid w:val="007D335D"/>
    <w:rsid w:val="007D5031"/>
    <w:rsid w:val="007D573B"/>
    <w:rsid w:val="007D6D55"/>
    <w:rsid w:val="007E0C88"/>
    <w:rsid w:val="007E13D0"/>
    <w:rsid w:val="007E1B1D"/>
    <w:rsid w:val="007E24ED"/>
    <w:rsid w:val="007E319D"/>
    <w:rsid w:val="007E3314"/>
    <w:rsid w:val="007E4B03"/>
    <w:rsid w:val="007E58A2"/>
    <w:rsid w:val="007E713F"/>
    <w:rsid w:val="007E76BE"/>
    <w:rsid w:val="007E7CE3"/>
    <w:rsid w:val="007F1316"/>
    <w:rsid w:val="007F324B"/>
    <w:rsid w:val="007F3EEC"/>
    <w:rsid w:val="007F4DFE"/>
    <w:rsid w:val="007F6B07"/>
    <w:rsid w:val="007F7483"/>
    <w:rsid w:val="007F771F"/>
    <w:rsid w:val="00802022"/>
    <w:rsid w:val="00802E60"/>
    <w:rsid w:val="00803EAA"/>
    <w:rsid w:val="0080553C"/>
    <w:rsid w:val="00805B46"/>
    <w:rsid w:val="00810E8D"/>
    <w:rsid w:val="00811ECD"/>
    <w:rsid w:val="00816DE1"/>
    <w:rsid w:val="00820A18"/>
    <w:rsid w:val="008211DF"/>
    <w:rsid w:val="00825DC2"/>
    <w:rsid w:val="008263B6"/>
    <w:rsid w:val="00830DEC"/>
    <w:rsid w:val="00833D4E"/>
    <w:rsid w:val="00834AD3"/>
    <w:rsid w:val="00835D3C"/>
    <w:rsid w:val="00836533"/>
    <w:rsid w:val="0083677A"/>
    <w:rsid w:val="0083788A"/>
    <w:rsid w:val="00837C34"/>
    <w:rsid w:val="008425EE"/>
    <w:rsid w:val="00843795"/>
    <w:rsid w:val="008438BA"/>
    <w:rsid w:val="0084465E"/>
    <w:rsid w:val="00846E9E"/>
    <w:rsid w:val="00847F0F"/>
    <w:rsid w:val="008500B1"/>
    <w:rsid w:val="008522FC"/>
    <w:rsid w:val="00852448"/>
    <w:rsid w:val="0085344B"/>
    <w:rsid w:val="00853635"/>
    <w:rsid w:val="0085567B"/>
    <w:rsid w:val="008569A1"/>
    <w:rsid w:val="00857E64"/>
    <w:rsid w:val="00857F61"/>
    <w:rsid w:val="00860C28"/>
    <w:rsid w:val="00860F7B"/>
    <w:rsid w:val="00863E09"/>
    <w:rsid w:val="008646DA"/>
    <w:rsid w:val="00865B30"/>
    <w:rsid w:val="00865E47"/>
    <w:rsid w:val="00866416"/>
    <w:rsid w:val="00866ED0"/>
    <w:rsid w:val="00870421"/>
    <w:rsid w:val="008739BA"/>
    <w:rsid w:val="00874676"/>
    <w:rsid w:val="0088258A"/>
    <w:rsid w:val="00882FBF"/>
    <w:rsid w:val="00885575"/>
    <w:rsid w:val="00886332"/>
    <w:rsid w:val="00886D2F"/>
    <w:rsid w:val="00887F70"/>
    <w:rsid w:val="008948E4"/>
    <w:rsid w:val="008A072E"/>
    <w:rsid w:val="008A0F0C"/>
    <w:rsid w:val="008A1C80"/>
    <w:rsid w:val="008A26D9"/>
    <w:rsid w:val="008A3DAD"/>
    <w:rsid w:val="008A44DB"/>
    <w:rsid w:val="008A58C2"/>
    <w:rsid w:val="008B0F20"/>
    <w:rsid w:val="008B1B16"/>
    <w:rsid w:val="008B2D5B"/>
    <w:rsid w:val="008B3CA0"/>
    <w:rsid w:val="008B5601"/>
    <w:rsid w:val="008B6A9A"/>
    <w:rsid w:val="008C0007"/>
    <w:rsid w:val="008C0C29"/>
    <w:rsid w:val="008C1F33"/>
    <w:rsid w:val="008C37DB"/>
    <w:rsid w:val="008C3AB7"/>
    <w:rsid w:val="008C4E2B"/>
    <w:rsid w:val="008C5119"/>
    <w:rsid w:val="008C5D81"/>
    <w:rsid w:val="008D0037"/>
    <w:rsid w:val="008D2074"/>
    <w:rsid w:val="008D21F2"/>
    <w:rsid w:val="008D3F85"/>
    <w:rsid w:val="008D561B"/>
    <w:rsid w:val="008D5D1D"/>
    <w:rsid w:val="008D6413"/>
    <w:rsid w:val="008E0933"/>
    <w:rsid w:val="008E0E06"/>
    <w:rsid w:val="008E6F47"/>
    <w:rsid w:val="008F04DA"/>
    <w:rsid w:val="008F0617"/>
    <w:rsid w:val="008F1C42"/>
    <w:rsid w:val="008F2D53"/>
    <w:rsid w:val="008F3638"/>
    <w:rsid w:val="008F4B57"/>
    <w:rsid w:val="008F5556"/>
    <w:rsid w:val="008F6283"/>
    <w:rsid w:val="008F671C"/>
    <w:rsid w:val="008F6F31"/>
    <w:rsid w:val="008F74DF"/>
    <w:rsid w:val="00901759"/>
    <w:rsid w:val="00903106"/>
    <w:rsid w:val="00904121"/>
    <w:rsid w:val="00904133"/>
    <w:rsid w:val="00905375"/>
    <w:rsid w:val="00905739"/>
    <w:rsid w:val="0090586F"/>
    <w:rsid w:val="00905A67"/>
    <w:rsid w:val="00906857"/>
    <w:rsid w:val="00907546"/>
    <w:rsid w:val="009076B2"/>
    <w:rsid w:val="00911CF2"/>
    <w:rsid w:val="009127BA"/>
    <w:rsid w:val="0091310A"/>
    <w:rsid w:val="009134D5"/>
    <w:rsid w:val="0091350E"/>
    <w:rsid w:val="00913766"/>
    <w:rsid w:val="00920799"/>
    <w:rsid w:val="009218D1"/>
    <w:rsid w:val="00921A87"/>
    <w:rsid w:val="00921C3F"/>
    <w:rsid w:val="009227A6"/>
    <w:rsid w:val="00924EF3"/>
    <w:rsid w:val="0092758B"/>
    <w:rsid w:val="00927755"/>
    <w:rsid w:val="00927D58"/>
    <w:rsid w:val="009301B3"/>
    <w:rsid w:val="00931AE5"/>
    <w:rsid w:val="0093398C"/>
    <w:rsid w:val="00933EC1"/>
    <w:rsid w:val="00937BDA"/>
    <w:rsid w:val="0094417D"/>
    <w:rsid w:val="00944262"/>
    <w:rsid w:val="00946A4C"/>
    <w:rsid w:val="009510F1"/>
    <w:rsid w:val="00951EDB"/>
    <w:rsid w:val="009530DB"/>
    <w:rsid w:val="00953676"/>
    <w:rsid w:val="00955B2A"/>
    <w:rsid w:val="00956313"/>
    <w:rsid w:val="0095687B"/>
    <w:rsid w:val="009609A1"/>
    <w:rsid w:val="00960A1C"/>
    <w:rsid w:val="00960A9C"/>
    <w:rsid w:val="00960BE4"/>
    <w:rsid w:val="0096150B"/>
    <w:rsid w:val="0096178E"/>
    <w:rsid w:val="00964DC1"/>
    <w:rsid w:val="00965255"/>
    <w:rsid w:val="0096565D"/>
    <w:rsid w:val="00965F03"/>
    <w:rsid w:val="009665D3"/>
    <w:rsid w:val="0096740A"/>
    <w:rsid w:val="00967D7E"/>
    <w:rsid w:val="009705EE"/>
    <w:rsid w:val="00972147"/>
    <w:rsid w:val="00972898"/>
    <w:rsid w:val="00972B83"/>
    <w:rsid w:val="0097447F"/>
    <w:rsid w:val="00975725"/>
    <w:rsid w:val="00977927"/>
    <w:rsid w:val="0098037C"/>
    <w:rsid w:val="0098135C"/>
    <w:rsid w:val="0098156A"/>
    <w:rsid w:val="009821A0"/>
    <w:rsid w:val="00984EEC"/>
    <w:rsid w:val="009879F0"/>
    <w:rsid w:val="00990583"/>
    <w:rsid w:val="00990E39"/>
    <w:rsid w:val="00991395"/>
    <w:rsid w:val="00991BAC"/>
    <w:rsid w:val="009924F8"/>
    <w:rsid w:val="0099295C"/>
    <w:rsid w:val="009943A1"/>
    <w:rsid w:val="00994BA3"/>
    <w:rsid w:val="00996309"/>
    <w:rsid w:val="00997A21"/>
    <w:rsid w:val="009A0B91"/>
    <w:rsid w:val="009A2FF0"/>
    <w:rsid w:val="009A4459"/>
    <w:rsid w:val="009A5D17"/>
    <w:rsid w:val="009A6B72"/>
    <w:rsid w:val="009A6D10"/>
    <w:rsid w:val="009A6EA0"/>
    <w:rsid w:val="009A7910"/>
    <w:rsid w:val="009B0217"/>
    <w:rsid w:val="009B0C25"/>
    <w:rsid w:val="009B1EF0"/>
    <w:rsid w:val="009B241D"/>
    <w:rsid w:val="009B382F"/>
    <w:rsid w:val="009B7341"/>
    <w:rsid w:val="009B7D46"/>
    <w:rsid w:val="009C0CCF"/>
    <w:rsid w:val="009C1335"/>
    <w:rsid w:val="009C1AB2"/>
    <w:rsid w:val="009C494F"/>
    <w:rsid w:val="009C7028"/>
    <w:rsid w:val="009C7251"/>
    <w:rsid w:val="009C7FE3"/>
    <w:rsid w:val="009D258B"/>
    <w:rsid w:val="009D264A"/>
    <w:rsid w:val="009D48C2"/>
    <w:rsid w:val="009D72DE"/>
    <w:rsid w:val="009D757F"/>
    <w:rsid w:val="009E21D0"/>
    <w:rsid w:val="009E2E91"/>
    <w:rsid w:val="009E3371"/>
    <w:rsid w:val="009E374D"/>
    <w:rsid w:val="009E3D7D"/>
    <w:rsid w:val="009E4CAF"/>
    <w:rsid w:val="009E56BC"/>
    <w:rsid w:val="009E6202"/>
    <w:rsid w:val="009F0127"/>
    <w:rsid w:val="009F0AF2"/>
    <w:rsid w:val="009F16E7"/>
    <w:rsid w:val="009F1C77"/>
    <w:rsid w:val="009F46D4"/>
    <w:rsid w:val="009F4F41"/>
    <w:rsid w:val="009F6602"/>
    <w:rsid w:val="009F66F2"/>
    <w:rsid w:val="009F686F"/>
    <w:rsid w:val="00A01A6B"/>
    <w:rsid w:val="00A01B2E"/>
    <w:rsid w:val="00A030E6"/>
    <w:rsid w:val="00A0335F"/>
    <w:rsid w:val="00A0647C"/>
    <w:rsid w:val="00A121DF"/>
    <w:rsid w:val="00A13514"/>
    <w:rsid w:val="00A139F5"/>
    <w:rsid w:val="00A14250"/>
    <w:rsid w:val="00A14EA4"/>
    <w:rsid w:val="00A17F09"/>
    <w:rsid w:val="00A20421"/>
    <w:rsid w:val="00A216F9"/>
    <w:rsid w:val="00A21E4A"/>
    <w:rsid w:val="00A2488E"/>
    <w:rsid w:val="00A267AB"/>
    <w:rsid w:val="00A270F5"/>
    <w:rsid w:val="00A27763"/>
    <w:rsid w:val="00A27A95"/>
    <w:rsid w:val="00A27D93"/>
    <w:rsid w:val="00A309AB"/>
    <w:rsid w:val="00A31CFB"/>
    <w:rsid w:val="00A33667"/>
    <w:rsid w:val="00A365F4"/>
    <w:rsid w:val="00A40D16"/>
    <w:rsid w:val="00A40F30"/>
    <w:rsid w:val="00A4219B"/>
    <w:rsid w:val="00A4223C"/>
    <w:rsid w:val="00A4333F"/>
    <w:rsid w:val="00A457A4"/>
    <w:rsid w:val="00A45EB1"/>
    <w:rsid w:val="00A47D80"/>
    <w:rsid w:val="00A52737"/>
    <w:rsid w:val="00A53132"/>
    <w:rsid w:val="00A5331E"/>
    <w:rsid w:val="00A54EC5"/>
    <w:rsid w:val="00A56357"/>
    <w:rsid w:val="00A563F2"/>
    <w:rsid w:val="00A566E8"/>
    <w:rsid w:val="00A56895"/>
    <w:rsid w:val="00A614A4"/>
    <w:rsid w:val="00A61FF6"/>
    <w:rsid w:val="00A63CAF"/>
    <w:rsid w:val="00A63FE4"/>
    <w:rsid w:val="00A6436D"/>
    <w:rsid w:val="00A647B9"/>
    <w:rsid w:val="00A66409"/>
    <w:rsid w:val="00A73AE7"/>
    <w:rsid w:val="00A73D9B"/>
    <w:rsid w:val="00A8065E"/>
    <w:rsid w:val="00A810F9"/>
    <w:rsid w:val="00A82472"/>
    <w:rsid w:val="00A846D6"/>
    <w:rsid w:val="00A86502"/>
    <w:rsid w:val="00A86ECC"/>
    <w:rsid w:val="00A86FCC"/>
    <w:rsid w:val="00A87770"/>
    <w:rsid w:val="00A87DC7"/>
    <w:rsid w:val="00A90CB1"/>
    <w:rsid w:val="00A91D74"/>
    <w:rsid w:val="00AA05AC"/>
    <w:rsid w:val="00AA087A"/>
    <w:rsid w:val="00AA3EB6"/>
    <w:rsid w:val="00AA5069"/>
    <w:rsid w:val="00AA710D"/>
    <w:rsid w:val="00AB0FC8"/>
    <w:rsid w:val="00AB237D"/>
    <w:rsid w:val="00AB62E4"/>
    <w:rsid w:val="00AB6D25"/>
    <w:rsid w:val="00AB788D"/>
    <w:rsid w:val="00AB7943"/>
    <w:rsid w:val="00AB7945"/>
    <w:rsid w:val="00AC2B69"/>
    <w:rsid w:val="00AC37B3"/>
    <w:rsid w:val="00AC5CD6"/>
    <w:rsid w:val="00AD0438"/>
    <w:rsid w:val="00AD0A03"/>
    <w:rsid w:val="00AD0ADA"/>
    <w:rsid w:val="00AD2D79"/>
    <w:rsid w:val="00AD2EA0"/>
    <w:rsid w:val="00AD30E6"/>
    <w:rsid w:val="00AD3D25"/>
    <w:rsid w:val="00AD3F41"/>
    <w:rsid w:val="00AD4A4E"/>
    <w:rsid w:val="00AD51B0"/>
    <w:rsid w:val="00AD5C65"/>
    <w:rsid w:val="00AD7503"/>
    <w:rsid w:val="00AE19DE"/>
    <w:rsid w:val="00AE2D4B"/>
    <w:rsid w:val="00AE3FB3"/>
    <w:rsid w:val="00AE4F99"/>
    <w:rsid w:val="00AE53E5"/>
    <w:rsid w:val="00AE6D6D"/>
    <w:rsid w:val="00AF19C9"/>
    <w:rsid w:val="00AF6719"/>
    <w:rsid w:val="00AF7709"/>
    <w:rsid w:val="00B05C82"/>
    <w:rsid w:val="00B068A7"/>
    <w:rsid w:val="00B06BE5"/>
    <w:rsid w:val="00B073F4"/>
    <w:rsid w:val="00B10342"/>
    <w:rsid w:val="00B11740"/>
    <w:rsid w:val="00B1192F"/>
    <w:rsid w:val="00B121A3"/>
    <w:rsid w:val="00B126F2"/>
    <w:rsid w:val="00B12D3C"/>
    <w:rsid w:val="00B14952"/>
    <w:rsid w:val="00B14B8C"/>
    <w:rsid w:val="00B14E90"/>
    <w:rsid w:val="00B17330"/>
    <w:rsid w:val="00B1769B"/>
    <w:rsid w:val="00B21BA7"/>
    <w:rsid w:val="00B21C01"/>
    <w:rsid w:val="00B24AF7"/>
    <w:rsid w:val="00B30795"/>
    <w:rsid w:val="00B31E5A"/>
    <w:rsid w:val="00B36B4D"/>
    <w:rsid w:val="00B36D31"/>
    <w:rsid w:val="00B407D3"/>
    <w:rsid w:val="00B42455"/>
    <w:rsid w:val="00B4328D"/>
    <w:rsid w:val="00B43D8E"/>
    <w:rsid w:val="00B456FA"/>
    <w:rsid w:val="00B45CB8"/>
    <w:rsid w:val="00B46521"/>
    <w:rsid w:val="00B465A7"/>
    <w:rsid w:val="00B47261"/>
    <w:rsid w:val="00B4788F"/>
    <w:rsid w:val="00B5588D"/>
    <w:rsid w:val="00B55974"/>
    <w:rsid w:val="00B55F47"/>
    <w:rsid w:val="00B5620D"/>
    <w:rsid w:val="00B57004"/>
    <w:rsid w:val="00B641EB"/>
    <w:rsid w:val="00B64C22"/>
    <w:rsid w:val="00B653AB"/>
    <w:rsid w:val="00B65F9E"/>
    <w:rsid w:val="00B668FA"/>
    <w:rsid w:val="00B66B19"/>
    <w:rsid w:val="00B66F42"/>
    <w:rsid w:val="00B678B9"/>
    <w:rsid w:val="00B70D87"/>
    <w:rsid w:val="00B7105D"/>
    <w:rsid w:val="00B74F7B"/>
    <w:rsid w:val="00B76142"/>
    <w:rsid w:val="00B76621"/>
    <w:rsid w:val="00B8076E"/>
    <w:rsid w:val="00B8272D"/>
    <w:rsid w:val="00B85633"/>
    <w:rsid w:val="00B86655"/>
    <w:rsid w:val="00B914E9"/>
    <w:rsid w:val="00B91AC6"/>
    <w:rsid w:val="00B94252"/>
    <w:rsid w:val="00B956EE"/>
    <w:rsid w:val="00B95FA8"/>
    <w:rsid w:val="00B96AD0"/>
    <w:rsid w:val="00BA02E1"/>
    <w:rsid w:val="00BA14B6"/>
    <w:rsid w:val="00BA2BA1"/>
    <w:rsid w:val="00BA2ECD"/>
    <w:rsid w:val="00BA44CD"/>
    <w:rsid w:val="00BB32C6"/>
    <w:rsid w:val="00BB4F09"/>
    <w:rsid w:val="00BB53B6"/>
    <w:rsid w:val="00BB544E"/>
    <w:rsid w:val="00BC207E"/>
    <w:rsid w:val="00BC6201"/>
    <w:rsid w:val="00BC70A9"/>
    <w:rsid w:val="00BC7912"/>
    <w:rsid w:val="00BD23FB"/>
    <w:rsid w:val="00BD2577"/>
    <w:rsid w:val="00BD4009"/>
    <w:rsid w:val="00BD473E"/>
    <w:rsid w:val="00BD4E33"/>
    <w:rsid w:val="00BD5F35"/>
    <w:rsid w:val="00BD5F7F"/>
    <w:rsid w:val="00BD6924"/>
    <w:rsid w:val="00BD7C75"/>
    <w:rsid w:val="00BF01CB"/>
    <w:rsid w:val="00BF3D5D"/>
    <w:rsid w:val="00BF5111"/>
    <w:rsid w:val="00C023D9"/>
    <w:rsid w:val="00C030DE"/>
    <w:rsid w:val="00C05167"/>
    <w:rsid w:val="00C11343"/>
    <w:rsid w:val="00C14EF3"/>
    <w:rsid w:val="00C16ABB"/>
    <w:rsid w:val="00C17251"/>
    <w:rsid w:val="00C202E0"/>
    <w:rsid w:val="00C2098E"/>
    <w:rsid w:val="00C21FA8"/>
    <w:rsid w:val="00C22105"/>
    <w:rsid w:val="00C22EA2"/>
    <w:rsid w:val="00C230EE"/>
    <w:rsid w:val="00C244B6"/>
    <w:rsid w:val="00C30545"/>
    <w:rsid w:val="00C31469"/>
    <w:rsid w:val="00C31634"/>
    <w:rsid w:val="00C31687"/>
    <w:rsid w:val="00C33D4C"/>
    <w:rsid w:val="00C343F0"/>
    <w:rsid w:val="00C35DEE"/>
    <w:rsid w:val="00C366B3"/>
    <w:rsid w:val="00C3702F"/>
    <w:rsid w:val="00C37A03"/>
    <w:rsid w:val="00C41057"/>
    <w:rsid w:val="00C41642"/>
    <w:rsid w:val="00C41764"/>
    <w:rsid w:val="00C45997"/>
    <w:rsid w:val="00C46C43"/>
    <w:rsid w:val="00C47820"/>
    <w:rsid w:val="00C51E88"/>
    <w:rsid w:val="00C52C74"/>
    <w:rsid w:val="00C5434F"/>
    <w:rsid w:val="00C561ED"/>
    <w:rsid w:val="00C62034"/>
    <w:rsid w:val="00C64A37"/>
    <w:rsid w:val="00C6552F"/>
    <w:rsid w:val="00C67295"/>
    <w:rsid w:val="00C7158E"/>
    <w:rsid w:val="00C7250B"/>
    <w:rsid w:val="00C7346B"/>
    <w:rsid w:val="00C77B68"/>
    <w:rsid w:val="00C77C0E"/>
    <w:rsid w:val="00C8094E"/>
    <w:rsid w:val="00C8338F"/>
    <w:rsid w:val="00C84055"/>
    <w:rsid w:val="00C84740"/>
    <w:rsid w:val="00C84D08"/>
    <w:rsid w:val="00C861FB"/>
    <w:rsid w:val="00C9128B"/>
    <w:rsid w:val="00C91687"/>
    <w:rsid w:val="00C924A8"/>
    <w:rsid w:val="00C9261D"/>
    <w:rsid w:val="00C9285A"/>
    <w:rsid w:val="00C92A18"/>
    <w:rsid w:val="00C93DA4"/>
    <w:rsid w:val="00C945FE"/>
    <w:rsid w:val="00C949F7"/>
    <w:rsid w:val="00C94C3C"/>
    <w:rsid w:val="00C96F23"/>
    <w:rsid w:val="00C96FAA"/>
    <w:rsid w:val="00C97A04"/>
    <w:rsid w:val="00CA107B"/>
    <w:rsid w:val="00CA3423"/>
    <w:rsid w:val="00CA38D1"/>
    <w:rsid w:val="00CA4296"/>
    <w:rsid w:val="00CA484D"/>
    <w:rsid w:val="00CA7392"/>
    <w:rsid w:val="00CA7A9B"/>
    <w:rsid w:val="00CB09AF"/>
    <w:rsid w:val="00CB0CAC"/>
    <w:rsid w:val="00CB3F80"/>
    <w:rsid w:val="00CB5287"/>
    <w:rsid w:val="00CB6E0A"/>
    <w:rsid w:val="00CC008F"/>
    <w:rsid w:val="00CC0A96"/>
    <w:rsid w:val="00CC0EAB"/>
    <w:rsid w:val="00CC18F2"/>
    <w:rsid w:val="00CC1C7C"/>
    <w:rsid w:val="00CC70D5"/>
    <w:rsid w:val="00CC739E"/>
    <w:rsid w:val="00CD07B6"/>
    <w:rsid w:val="00CD1C2A"/>
    <w:rsid w:val="00CD26C7"/>
    <w:rsid w:val="00CD3572"/>
    <w:rsid w:val="00CD5580"/>
    <w:rsid w:val="00CD574E"/>
    <w:rsid w:val="00CD58B7"/>
    <w:rsid w:val="00CD59EB"/>
    <w:rsid w:val="00CD6042"/>
    <w:rsid w:val="00CE03AA"/>
    <w:rsid w:val="00CE13CA"/>
    <w:rsid w:val="00CE2C3A"/>
    <w:rsid w:val="00CE3423"/>
    <w:rsid w:val="00CE53D6"/>
    <w:rsid w:val="00CF0110"/>
    <w:rsid w:val="00CF0172"/>
    <w:rsid w:val="00CF0219"/>
    <w:rsid w:val="00CF11EB"/>
    <w:rsid w:val="00CF1A2B"/>
    <w:rsid w:val="00CF4099"/>
    <w:rsid w:val="00CF55D1"/>
    <w:rsid w:val="00CF5AB1"/>
    <w:rsid w:val="00CF6823"/>
    <w:rsid w:val="00CF722C"/>
    <w:rsid w:val="00D00796"/>
    <w:rsid w:val="00D048FB"/>
    <w:rsid w:val="00D10E44"/>
    <w:rsid w:val="00D110E3"/>
    <w:rsid w:val="00D115FF"/>
    <w:rsid w:val="00D12F51"/>
    <w:rsid w:val="00D1348A"/>
    <w:rsid w:val="00D134DD"/>
    <w:rsid w:val="00D1750F"/>
    <w:rsid w:val="00D204D8"/>
    <w:rsid w:val="00D208CC"/>
    <w:rsid w:val="00D21D71"/>
    <w:rsid w:val="00D22715"/>
    <w:rsid w:val="00D23565"/>
    <w:rsid w:val="00D242EC"/>
    <w:rsid w:val="00D2518C"/>
    <w:rsid w:val="00D261A2"/>
    <w:rsid w:val="00D2644B"/>
    <w:rsid w:val="00D30D5C"/>
    <w:rsid w:val="00D30EF4"/>
    <w:rsid w:val="00D342B1"/>
    <w:rsid w:val="00D36DA1"/>
    <w:rsid w:val="00D36DF7"/>
    <w:rsid w:val="00D40A89"/>
    <w:rsid w:val="00D420C8"/>
    <w:rsid w:val="00D4256C"/>
    <w:rsid w:val="00D45A80"/>
    <w:rsid w:val="00D467D8"/>
    <w:rsid w:val="00D504E4"/>
    <w:rsid w:val="00D54994"/>
    <w:rsid w:val="00D55E20"/>
    <w:rsid w:val="00D568CA"/>
    <w:rsid w:val="00D569E3"/>
    <w:rsid w:val="00D60329"/>
    <w:rsid w:val="00D609D4"/>
    <w:rsid w:val="00D616D2"/>
    <w:rsid w:val="00D61FC3"/>
    <w:rsid w:val="00D63B5F"/>
    <w:rsid w:val="00D63EF3"/>
    <w:rsid w:val="00D650EB"/>
    <w:rsid w:val="00D66683"/>
    <w:rsid w:val="00D679AA"/>
    <w:rsid w:val="00D67B34"/>
    <w:rsid w:val="00D70EF7"/>
    <w:rsid w:val="00D7350E"/>
    <w:rsid w:val="00D766FB"/>
    <w:rsid w:val="00D77B37"/>
    <w:rsid w:val="00D8211E"/>
    <w:rsid w:val="00D8397C"/>
    <w:rsid w:val="00D83BC5"/>
    <w:rsid w:val="00D83D00"/>
    <w:rsid w:val="00D84B34"/>
    <w:rsid w:val="00D8674B"/>
    <w:rsid w:val="00D90EBE"/>
    <w:rsid w:val="00D934F6"/>
    <w:rsid w:val="00D94EED"/>
    <w:rsid w:val="00D95100"/>
    <w:rsid w:val="00D96026"/>
    <w:rsid w:val="00DA0F32"/>
    <w:rsid w:val="00DA13B7"/>
    <w:rsid w:val="00DA20E3"/>
    <w:rsid w:val="00DA20FA"/>
    <w:rsid w:val="00DA2966"/>
    <w:rsid w:val="00DA7C1C"/>
    <w:rsid w:val="00DB147A"/>
    <w:rsid w:val="00DB1B7A"/>
    <w:rsid w:val="00DB1E10"/>
    <w:rsid w:val="00DB1E64"/>
    <w:rsid w:val="00DB562E"/>
    <w:rsid w:val="00DB78C1"/>
    <w:rsid w:val="00DB7C11"/>
    <w:rsid w:val="00DC047D"/>
    <w:rsid w:val="00DC09D7"/>
    <w:rsid w:val="00DC0CDE"/>
    <w:rsid w:val="00DC4295"/>
    <w:rsid w:val="00DC6708"/>
    <w:rsid w:val="00DC6871"/>
    <w:rsid w:val="00DC776F"/>
    <w:rsid w:val="00DD0E9C"/>
    <w:rsid w:val="00DD1B39"/>
    <w:rsid w:val="00DD1D64"/>
    <w:rsid w:val="00DD20E2"/>
    <w:rsid w:val="00DD21A2"/>
    <w:rsid w:val="00DD4E61"/>
    <w:rsid w:val="00DD5A66"/>
    <w:rsid w:val="00DD6840"/>
    <w:rsid w:val="00DE0082"/>
    <w:rsid w:val="00DE3D51"/>
    <w:rsid w:val="00DE4BE2"/>
    <w:rsid w:val="00DE5D2E"/>
    <w:rsid w:val="00DE6285"/>
    <w:rsid w:val="00DE6865"/>
    <w:rsid w:val="00DF0D24"/>
    <w:rsid w:val="00DF18C1"/>
    <w:rsid w:val="00DF3AE7"/>
    <w:rsid w:val="00DF447F"/>
    <w:rsid w:val="00DF450D"/>
    <w:rsid w:val="00DF5728"/>
    <w:rsid w:val="00DF68D7"/>
    <w:rsid w:val="00DF7D0A"/>
    <w:rsid w:val="00E00001"/>
    <w:rsid w:val="00E01436"/>
    <w:rsid w:val="00E0164D"/>
    <w:rsid w:val="00E01AB1"/>
    <w:rsid w:val="00E02918"/>
    <w:rsid w:val="00E03FB8"/>
    <w:rsid w:val="00E04052"/>
    <w:rsid w:val="00E045BD"/>
    <w:rsid w:val="00E04805"/>
    <w:rsid w:val="00E05DB4"/>
    <w:rsid w:val="00E0607F"/>
    <w:rsid w:val="00E102B7"/>
    <w:rsid w:val="00E15A67"/>
    <w:rsid w:val="00E174B2"/>
    <w:rsid w:val="00E17B77"/>
    <w:rsid w:val="00E17D40"/>
    <w:rsid w:val="00E23337"/>
    <w:rsid w:val="00E2366B"/>
    <w:rsid w:val="00E24F07"/>
    <w:rsid w:val="00E259EA"/>
    <w:rsid w:val="00E270BA"/>
    <w:rsid w:val="00E30043"/>
    <w:rsid w:val="00E32061"/>
    <w:rsid w:val="00E322C8"/>
    <w:rsid w:val="00E34610"/>
    <w:rsid w:val="00E34EEF"/>
    <w:rsid w:val="00E35357"/>
    <w:rsid w:val="00E36CE3"/>
    <w:rsid w:val="00E3705B"/>
    <w:rsid w:val="00E4240F"/>
    <w:rsid w:val="00E42FF9"/>
    <w:rsid w:val="00E43C74"/>
    <w:rsid w:val="00E44F82"/>
    <w:rsid w:val="00E457ED"/>
    <w:rsid w:val="00E4664B"/>
    <w:rsid w:val="00E467CC"/>
    <w:rsid w:val="00E46A8B"/>
    <w:rsid w:val="00E4714C"/>
    <w:rsid w:val="00E50B69"/>
    <w:rsid w:val="00E51AEB"/>
    <w:rsid w:val="00E522A7"/>
    <w:rsid w:val="00E523AD"/>
    <w:rsid w:val="00E52859"/>
    <w:rsid w:val="00E54452"/>
    <w:rsid w:val="00E55047"/>
    <w:rsid w:val="00E55FC5"/>
    <w:rsid w:val="00E56DD9"/>
    <w:rsid w:val="00E641D0"/>
    <w:rsid w:val="00E65046"/>
    <w:rsid w:val="00E654B6"/>
    <w:rsid w:val="00E65538"/>
    <w:rsid w:val="00E664C5"/>
    <w:rsid w:val="00E66665"/>
    <w:rsid w:val="00E671A2"/>
    <w:rsid w:val="00E67A9D"/>
    <w:rsid w:val="00E71287"/>
    <w:rsid w:val="00E7580A"/>
    <w:rsid w:val="00E76D26"/>
    <w:rsid w:val="00E774A7"/>
    <w:rsid w:val="00E82DBC"/>
    <w:rsid w:val="00E845CB"/>
    <w:rsid w:val="00E849C9"/>
    <w:rsid w:val="00E8566C"/>
    <w:rsid w:val="00E87DA3"/>
    <w:rsid w:val="00E87F78"/>
    <w:rsid w:val="00E90AC0"/>
    <w:rsid w:val="00E91927"/>
    <w:rsid w:val="00E928D6"/>
    <w:rsid w:val="00E93560"/>
    <w:rsid w:val="00E94640"/>
    <w:rsid w:val="00E97120"/>
    <w:rsid w:val="00EA0819"/>
    <w:rsid w:val="00EA2B74"/>
    <w:rsid w:val="00EA3DED"/>
    <w:rsid w:val="00EA5A3C"/>
    <w:rsid w:val="00EA5D60"/>
    <w:rsid w:val="00EA6B91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2197"/>
    <w:rsid w:val="00EC4F64"/>
    <w:rsid w:val="00EC55DB"/>
    <w:rsid w:val="00ED04D0"/>
    <w:rsid w:val="00ED18A2"/>
    <w:rsid w:val="00ED55C0"/>
    <w:rsid w:val="00ED5EC7"/>
    <w:rsid w:val="00ED682B"/>
    <w:rsid w:val="00ED7983"/>
    <w:rsid w:val="00EE373E"/>
    <w:rsid w:val="00EE3CA1"/>
    <w:rsid w:val="00EE41D5"/>
    <w:rsid w:val="00EE5F94"/>
    <w:rsid w:val="00EE66D9"/>
    <w:rsid w:val="00EE77AC"/>
    <w:rsid w:val="00EF4EF9"/>
    <w:rsid w:val="00EF6B0F"/>
    <w:rsid w:val="00EF7576"/>
    <w:rsid w:val="00F037A4"/>
    <w:rsid w:val="00F04030"/>
    <w:rsid w:val="00F113BA"/>
    <w:rsid w:val="00F11509"/>
    <w:rsid w:val="00F137F7"/>
    <w:rsid w:val="00F1426B"/>
    <w:rsid w:val="00F16543"/>
    <w:rsid w:val="00F17D27"/>
    <w:rsid w:val="00F206B3"/>
    <w:rsid w:val="00F22273"/>
    <w:rsid w:val="00F22740"/>
    <w:rsid w:val="00F233E3"/>
    <w:rsid w:val="00F23968"/>
    <w:rsid w:val="00F24D58"/>
    <w:rsid w:val="00F25C7B"/>
    <w:rsid w:val="00F26991"/>
    <w:rsid w:val="00F27C8F"/>
    <w:rsid w:val="00F32749"/>
    <w:rsid w:val="00F35845"/>
    <w:rsid w:val="00F35A58"/>
    <w:rsid w:val="00F37172"/>
    <w:rsid w:val="00F3738B"/>
    <w:rsid w:val="00F373E1"/>
    <w:rsid w:val="00F374DC"/>
    <w:rsid w:val="00F4008D"/>
    <w:rsid w:val="00F40B84"/>
    <w:rsid w:val="00F40FE1"/>
    <w:rsid w:val="00F41144"/>
    <w:rsid w:val="00F42F31"/>
    <w:rsid w:val="00F4477E"/>
    <w:rsid w:val="00F44D12"/>
    <w:rsid w:val="00F46B76"/>
    <w:rsid w:val="00F51A96"/>
    <w:rsid w:val="00F539BD"/>
    <w:rsid w:val="00F54181"/>
    <w:rsid w:val="00F55149"/>
    <w:rsid w:val="00F608D1"/>
    <w:rsid w:val="00F6158E"/>
    <w:rsid w:val="00F61F53"/>
    <w:rsid w:val="00F64468"/>
    <w:rsid w:val="00F64AC1"/>
    <w:rsid w:val="00F66D82"/>
    <w:rsid w:val="00F67C2A"/>
    <w:rsid w:val="00F67D8F"/>
    <w:rsid w:val="00F708DF"/>
    <w:rsid w:val="00F779CC"/>
    <w:rsid w:val="00F802BE"/>
    <w:rsid w:val="00F816A1"/>
    <w:rsid w:val="00F82C75"/>
    <w:rsid w:val="00F834C5"/>
    <w:rsid w:val="00F84441"/>
    <w:rsid w:val="00F84FEA"/>
    <w:rsid w:val="00F8582C"/>
    <w:rsid w:val="00F86024"/>
    <w:rsid w:val="00F8611A"/>
    <w:rsid w:val="00F864BE"/>
    <w:rsid w:val="00F86535"/>
    <w:rsid w:val="00F91606"/>
    <w:rsid w:val="00F9379A"/>
    <w:rsid w:val="00F95943"/>
    <w:rsid w:val="00F9616E"/>
    <w:rsid w:val="00F968FA"/>
    <w:rsid w:val="00F97BC2"/>
    <w:rsid w:val="00FA0A29"/>
    <w:rsid w:val="00FA3953"/>
    <w:rsid w:val="00FA44C7"/>
    <w:rsid w:val="00FA5128"/>
    <w:rsid w:val="00FA544B"/>
    <w:rsid w:val="00FA56EF"/>
    <w:rsid w:val="00FA6239"/>
    <w:rsid w:val="00FA68FD"/>
    <w:rsid w:val="00FB0592"/>
    <w:rsid w:val="00FB06D3"/>
    <w:rsid w:val="00FB21E1"/>
    <w:rsid w:val="00FB2BE7"/>
    <w:rsid w:val="00FB42D4"/>
    <w:rsid w:val="00FB58A3"/>
    <w:rsid w:val="00FB5906"/>
    <w:rsid w:val="00FB762F"/>
    <w:rsid w:val="00FC0BA6"/>
    <w:rsid w:val="00FC2AED"/>
    <w:rsid w:val="00FC4EB3"/>
    <w:rsid w:val="00FC625D"/>
    <w:rsid w:val="00FC67EF"/>
    <w:rsid w:val="00FC6AC9"/>
    <w:rsid w:val="00FD1955"/>
    <w:rsid w:val="00FD5C59"/>
    <w:rsid w:val="00FD5EA7"/>
    <w:rsid w:val="00FD5F18"/>
    <w:rsid w:val="00FE19FF"/>
    <w:rsid w:val="00FE1B93"/>
    <w:rsid w:val="00FE6CB4"/>
    <w:rsid w:val="00FF19A5"/>
    <w:rsid w:val="00FF2F66"/>
    <w:rsid w:val="00FF3C81"/>
    <w:rsid w:val="00FF4875"/>
    <w:rsid w:val="00FF4E3F"/>
    <w:rsid w:val="00FF5E10"/>
    <w:rsid w:val="00FF6F75"/>
    <w:rsid w:val="00FF783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48609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4D06AC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  <w:style w:type="table" w:customStyle="1" w:styleId="Siatkatabelijasna21">
    <w:name w:val="Siatka tabeli — jasna21"/>
    <w:basedOn w:val="Standardowy"/>
    <w:uiPriority w:val="40"/>
    <w:rsid w:val="00833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41374E"/>
    <w:pPr>
      <w:spacing w:after="0" w:line="240" w:lineRule="auto"/>
    </w:pPr>
    <w:rPr>
      <w:rFonts w:ascii="Fira Sans" w:hAnsi="Fira Sans"/>
      <w:sz w:val="19"/>
    </w:rPr>
  </w:style>
  <w:style w:type="table" w:customStyle="1" w:styleId="Siatkatabelijasna22">
    <w:name w:val="Siatka tabeli — jasna22"/>
    <w:basedOn w:val="Standardowy"/>
    <w:uiPriority w:val="40"/>
    <w:rsid w:val="008A44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3">
    <w:name w:val="Siatka tabeli — jasna23"/>
    <w:basedOn w:val="Standardowy"/>
    <w:uiPriority w:val="40"/>
    <w:rsid w:val="00857F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4">
    <w:name w:val="Siatka tabeli — jasna24"/>
    <w:basedOn w:val="Standardowy"/>
    <w:uiPriority w:val="40"/>
    <w:rsid w:val="00AD30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bdl.stat.gov.pl/BDL/start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stat.gov.pl/metainformacje/slownik-pojec/pojecia-stosowane-w-statystyce-publicznej/945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25" Type="http://schemas.openxmlformats.org/officeDocument/2006/relationships/hyperlink" Target="http://swaid.stat.gov.pl/Budownictwo_dashboards/Raporty_predefiniowane/RAP_DBD_BUD_9.aspx" TargetMode="External"/><Relationship Id="rId33" Type="http://schemas.openxmlformats.org/officeDocument/2006/relationships/hyperlink" Target="https://bdl.stat.gov.pl/BDL/star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obszary-tematyczne/przemysl-budownictwo-srodki-trwale/budownictwo/publikacja,3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waid.stat.gov.pl/Budownictwo_dashboards/Raporty_predefiniowane/RAP_DBD_BUD_7.aspx" TargetMode="External"/><Relationship Id="rId32" Type="http://schemas.openxmlformats.org/officeDocument/2006/relationships/hyperlink" Target="http://swaid.stat.gov.pl/Budownictwo_dashboards/Raporty_predefiniowane/RAP_DBD_BUD_9.aspx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przemysl-budownictwo-srodki-trwale/budownictwo/publikacja,13.html" TargetMode="External"/><Relationship Id="rId28" Type="http://schemas.openxmlformats.org/officeDocument/2006/relationships/hyperlink" Target="http://stat.gov.pl/metainformacje/slownik-pojec/pojecia-stosowane-w-statystyce-publicznej/201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://swaid.stat.gov.pl/Budownictwo_dashboards/Raporty_predefiniowane/RAP_DBD_BUD_7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://stat.gov.pl/obszary-tematyczne/przemysl-budownictwo-srodki-trwale/budownictwo/publikacja,3.html" TargetMode="External"/><Relationship Id="rId27" Type="http://schemas.openxmlformats.org/officeDocument/2006/relationships/hyperlink" Target="http://stat.gov.pl/metainformacje/slownik-pojec/pojecia-stosowane-w-statystyce-publicznej/945,pojecie.html" TargetMode="External"/><Relationship Id="rId30" Type="http://schemas.openxmlformats.org/officeDocument/2006/relationships/hyperlink" Target="https://stat.gov.pl/obszary-tematyczne/przemysl-budownictwo-srodki-trwale/budownictwo/publikacja,13.html" TargetMode="External"/><Relationship Id="rId35" Type="http://schemas.openxmlformats.org/officeDocument/2006/relationships/hyperlink" Target="http://stat.gov.pl/metainformacje/slownik-pojec/pojecia-stosowane-w-statystyce-publicznej/201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817413104929458E-2"/>
          <c:y val="0.15380931793213817"/>
          <c:w val="0.8683723551868533"/>
          <c:h val="0.5451219760320658"/>
        </c:manualLayout>
      </c:layout>
      <c:lineChart>
        <c:grouping val="standard"/>
        <c:varyColors val="0"/>
        <c:ser>
          <c:idx val="0"/>
          <c:order val="0"/>
          <c:tx>
            <c:v>mieszkania oddane do użytkowania</c:v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Arkusz1!$B$2:$AX$3</c:f>
              <c:multiLvlStrCache>
                <c:ptCount val="4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Arkusz1!$B$4:$AX$4</c:f>
              <c:numCache>
                <c:formatCode>General</c:formatCode>
                <c:ptCount val="49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17324</c:v>
                </c:pt>
                <c:pt idx="37" formatCode="#,##0">
                  <c:v>15056</c:v>
                </c:pt>
                <c:pt idx="38">
                  <c:v>15045</c:v>
                </c:pt>
                <c:pt idx="39">
                  <c:v>17660</c:v>
                </c:pt>
                <c:pt idx="40">
                  <c:v>14968</c:v>
                </c:pt>
                <c:pt idx="41">
                  <c:v>14480</c:v>
                </c:pt>
                <c:pt idx="42">
                  <c:v>16946</c:v>
                </c:pt>
                <c:pt idx="43">
                  <c:v>17347</c:v>
                </c:pt>
                <c:pt idx="44">
                  <c:v>16884</c:v>
                </c:pt>
                <c:pt idx="45">
                  <c:v>19078</c:v>
                </c:pt>
                <c:pt idx="46">
                  <c:v>19505</c:v>
                </c:pt>
                <c:pt idx="47">
                  <c:v>22931</c:v>
                </c:pt>
                <c:pt idx="48">
                  <c:v>17409</c:v>
                </c:pt>
              </c:numCache>
            </c:numRef>
          </c:val>
          <c:smooth val="0"/>
        </c:ser>
        <c:ser>
          <c:idx val="4"/>
          <c:order val="1"/>
          <c:tx>
            <c:v>mieszkania, na których budowę wydano pozwolenia lub dokonano zgłoszenia z projektem budowlanym</c:v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Arkusz1!$B$2:$AX$3</c:f>
              <c:multiLvlStrCache>
                <c:ptCount val="4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Arkusz1!$B$16:$AX$16</c:f>
              <c:numCache>
                <c:formatCode>General</c:formatCode>
                <c:ptCount val="49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  <c:pt idx="40" formatCode="#,##0">
                  <c:v>26965</c:v>
                </c:pt>
                <c:pt idx="41">
                  <c:v>22514</c:v>
                </c:pt>
                <c:pt idx="42">
                  <c:v>24407</c:v>
                </c:pt>
                <c:pt idx="43">
                  <c:v>22431</c:v>
                </c:pt>
                <c:pt idx="44">
                  <c:v>24754</c:v>
                </c:pt>
                <c:pt idx="45">
                  <c:v>27824</c:v>
                </c:pt>
                <c:pt idx="46">
                  <c:v>19448</c:v>
                </c:pt>
                <c:pt idx="47">
                  <c:v>20101</c:v>
                </c:pt>
                <c:pt idx="48">
                  <c:v>18370</c:v>
                </c:pt>
              </c:numCache>
            </c:numRef>
          </c:val>
          <c:smooth val="0"/>
        </c:ser>
        <c:ser>
          <c:idx val="2"/>
          <c:order val="2"/>
          <c:tx>
            <c:v>mieszkania, których budowę rozpoczęto</c:v>
          </c:tx>
          <c:spPr>
            <a:ln w="158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99A5C9"/>
                </a:solidFill>
              </a:ln>
              <a:effectLst/>
            </c:spPr>
          </c:marker>
          <c:cat>
            <c:multiLvlStrRef>
              <c:f>Arkusz1!$B$2:$AX$3</c:f>
              <c:multiLvlStrCache>
                <c:ptCount val="4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Arkusz1!$B$10:$AX$10</c:f>
              <c:numCache>
                <c:formatCode>General</c:formatCode>
                <c:ptCount val="49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  <c:pt idx="40">
                  <c:v>20600</c:v>
                </c:pt>
                <c:pt idx="41">
                  <c:v>18956</c:v>
                </c:pt>
                <c:pt idx="42">
                  <c:v>21958</c:v>
                </c:pt>
                <c:pt idx="43" formatCode="#,##0">
                  <c:v>19528</c:v>
                </c:pt>
                <c:pt idx="44">
                  <c:v>21566</c:v>
                </c:pt>
                <c:pt idx="45">
                  <c:v>24095</c:v>
                </c:pt>
                <c:pt idx="46">
                  <c:v>18884</c:v>
                </c:pt>
                <c:pt idx="47">
                  <c:v>15858</c:v>
                </c:pt>
                <c:pt idx="48">
                  <c:v>15891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528976"/>
        <c:axId val="560537680"/>
      </c:lineChart>
      <c:catAx>
        <c:axId val="56052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60537680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560537680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6052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817586765953265E-2"/>
          <c:y val="0.82058882442326286"/>
          <c:w val="0.92418241323404671"/>
          <c:h val="0.158658999861859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72701673761587"/>
          <c:y val="7.901597995616122E-2"/>
          <c:w val="0.78147912136044484"/>
          <c:h val="0.68313811581452155"/>
        </c:manualLayout>
      </c:layout>
      <c:barChart>
        <c:barDir val="bar"/>
        <c:grouping val="clustered"/>
        <c:varyColors val="0"/>
        <c:ser>
          <c:idx val="2"/>
          <c:order val="0"/>
          <c:tx>
            <c:v>mieszkania, których budowę rozpoczęto</c:v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Podlaskie</c:v>
                </c:pt>
                <c:pt idx="2">
                  <c:v>Lubuskie</c:v>
                </c:pt>
                <c:pt idx="3">
                  <c:v>Świętokrzyskie</c:v>
                </c:pt>
                <c:pt idx="4">
                  <c:v>Lubelskie</c:v>
                </c:pt>
                <c:pt idx="5">
                  <c:v>Warmińsko-mazurskie</c:v>
                </c:pt>
                <c:pt idx="6">
                  <c:v>Zachodniopomorskie</c:v>
                </c:pt>
                <c:pt idx="7">
                  <c:v>Podkarpackie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Pomorskie</c:v>
                </c:pt>
                <c:pt idx="11">
                  <c:v>Śląskie</c:v>
                </c:pt>
                <c:pt idx="12">
                  <c:v>Wielkopolskie</c:v>
                </c:pt>
                <c:pt idx="13">
                  <c:v>Dolnośląskie</c:v>
                </c:pt>
                <c:pt idx="14">
                  <c:v>Mazowieckie</c:v>
                </c:pt>
                <c:pt idx="15">
                  <c:v>Małopolskie</c:v>
                </c:pt>
              </c:strCache>
            </c:strRef>
          </c:cat>
          <c:val>
            <c:numRef>
              <c:f>Arkusz4!$I$33:$I$48</c:f>
              <c:numCache>
                <c:formatCode>#,##0</c:formatCode>
                <c:ptCount val="16"/>
                <c:pt idx="0">
                  <c:v>312</c:v>
                </c:pt>
                <c:pt idx="1">
                  <c:v>684</c:v>
                </c:pt>
                <c:pt idx="2">
                  <c:v>320</c:v>
                </c:pt>
                <c:pt idx="3">
                  <c:v>236</c:v>
                </c:pt>
                <c:pt idx="4">
                  <c:v>532</c:v>
                </c:pt>
                <c:pt idx="5">
                  <c:v>1008</c:v>
                </c:pt>
                <c:pt idx="6">
                  <c:v>436</c:v>
                </c:pt>
                <c:pt idx="7">
                  <c:v>793</c:v>
                </c:pt>
                <c:pt idx="8">
                  <c:v>459</c:v>
                </c:pt>
                <c:pt idx="9">
                  <c:v>504</c:v>
                </c:pt>
                <c:pt idx="10">
                  <c:v>1385</c:v>
                </c:pt>
                <c:pt idx="11">
                  <c:v>1090</c:v>
                </c:pt>
                <c:pt idx="12">
                  <c:v>2218</c:v>
                </c:pt>
                <c:pt idx="13">
                  <c:v>1188</c:v>
                </c:pt>
                <c:pt idx="14">
                  <c:v>3274</c:v>
                </c:pt>
                <c:pt idx="15">
                  <c:v>1452</c:v>
                </c:pt>
              </c:numCache>
            </c:numRef>
          </c:val>
        </c:ser>
        <c:ser>
          <c:idx val="1"/>
          <c:order val="1"/>
          <c:tx>
            <c:v>mieszkania, na których budowę wydano pozwolenia lub dokonano zgłoszenia z projektem budowlanym</c:v>
          </c:tx>
          <c:spPr>
            <a:solidFill>
              <a:srgbClr val="008542"/>
            </a:solidFill>
            <a:ln>
              <a:solidFill>
                <a:srgbClr val="008542"/>
              </a:solidFill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Podlaskie</c:v>
                </c:pt>
                <c:pt idx="2">
                  <c:v>Lubuskie</c:v>
                </c:pt>
                <c:pt idx="3">
                  <c:v>Świętokrzyskie</c:v>
                </c:pt>
                <c:pt idx="4">
                  <c:v>Lubelskie</c:v>
                </c:pt>
                <c:pt idx="5">
                  <c:v>Warmińsko-mazurskie</c:v>
                </c:pt>
                <c:pt idx="6">
                  <c:v>Zachodniopomorskie</c:v>
                </c:pt>
                <c:pt idx="7">
                  <c:v>Podkarpackie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Pomorskie</c:v>
                </c:pt>
                <c:pt idx="11">
                  <c:v>Śląskie</c:v>
                </c:pt>
                <c:pt idx="12">
                  <c:v>Wielkopolskie</c:v>
                </c:pt>
                <c:pt idx="13">
                  <c:v>Dolnośląskie</c:v>
                </c:pt>
                <c:pt idx="14">
                  <c:v>Mazowieckie</c:v>
                </c:pt>
                <c:pt idx="15">
                  <c:v>Małopolskie</c:v>
                </c:pt>
              </c:strCache>
            </c:strRef>
          </c:cat>
          <c:val>
            <c:numRef>
              <c:f>Arkusz4!$H$33:$H$48</c:f>
              <c:numCache>
                <c:formatCode>#,##0</c:formatCode>
                <c:ptCount val="16"/>
                <c:pt idx="0">
                  <c:v>196</c:v>
                </c:pt>
                <c:pt idx="1">
                  <c:v>817</c:v>
                </c:pt>
                <c:pt idx="2">
                  <c:v>422</c:v>
                </c:pt>
                <c:pt idx="3">
                  <c:v>326</c:v>
                </c:pt>
                <c:pt idx="4">
                  <c:v>424</c:v>
                </c:pt>
                <c:pt idx="5">
                  <c:v>286</c:v>
                </c:pt>
                <c:pt idx="6">
                  <c:v>1189</c:v>
                </c:pt>
                <c:pt idx="7">
                  <c:v>797</c:v>
                </c:pt>
                <c:pt idx="8">
                  <c:v>744</c:v>
                </c:pt>
                <c:pt idx="9">
                  <c:v>1183</c:v>
                </c:pt>
                <c:pt idx="10">
                  <c:v>1701</c:v>
                </c:pt>
                <c:pt idx="11">
                  <c:v>1514</c:v>
                </c:pt>
                <c:pt idx="12">
                  <c:v>2017</c:v>
                </c:pt>
                <c:pt idx="13">
                  <c:v>1412</c:v>
                </c:pt>
                <c:pt idx="14">
                  <c:v>3955</c:v>
                </c:pt>
                <c:pt idx="15">
                  <c:v>1387</c:v>
                </c:pt>
              </c:numCache>
            </c:numRef>
          </c:val>
        </c:ser>
        <c:ser>
          <c:idx val="0"/>
          <c:order val="2"/>
          <c:tx>
            <c:v>mieszkania oddane do użytkowania</c:v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Podlaskie</c:v>
                </c:pt>
                <c:pt idx="2">
                  <c:v>Lubuskie</c:v>
                </c:pt>
                <c:pt idx="3">
                  <c:v>Świętokrzyskie</c:v>
                </c:pt>
                <c:pt idx="4">
                  <c:v>Lubelskie</c:v>
                </c:pt>
                <c:pt idx="5">
                  <c:v>Warmińsko-mazurskie</c:v>
                </c:pt>
                <c:pt idx="6">
                  <c:v>Zachodniopomorskie</c:v>
                </c:pt>
                <c:pt idx="7">
                  <c:v>Podkarpackie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Pomorskie</c:v>
                </c:pt>
                <c:pt idx="11">
                  <c:v>Śląskie</c:v>
                </c:pt>
                <c:pt idx="12">
                  <c:v>Wielkopolskie</c:v>
                </c:pt>
                <c:pt idx="13">
                  <c:v>Dolnośląskie</c:v>
                </c:pt>
                <c:pt idx="14">
                  <c:v>Mazowieckie</c:v>
                </c:pt>
                <c:pt idx="15">
                  <c:v>Małopolskie</c:v>
                </c:pt>
              </c:strCache>
            </c:strRef>
          </c:cat>
          <c:val>
            <c:numRef>
              <c:f>Arkusz4!$J$33:$J$48</c:f>
              <c:numCache>
                <c:formatCode>#,##0</c:formatCode>
                <c:ptCount val="16"/>
                <c:pt idx="0">
                  <c:v>176</c:v>
                </c:pt>
                <c:pt idx="1">
                  <c:v>328</c:v>
                </c:pt>
                <c:pt idx="2">
                  <c:v>349</c:v>
                </c:pt>
                <c:pt idx="3">
                  <c:v>350</c:v>
                </c:pt>
                <c:pt idx="4">
                  <c:v>557</c:v>
                </c:pt>
                <c:pt idx="5">
                  <c:v>637</c:v>
                </c:pt>
                <c:pt idx="6">
                  <c:v>715</c:v>
                </c:pt>
                <c:pt idx="7">
                  <c:v>771</c:v>
                </c:pt>
                <c:pt idx="8">
                  <c:v>955</c:v>
                </c:pt>
                <c:pt idx="9">
                  <c:v>1069</c:v>
                </c:pt>
                <c:pt idx="10">
                  <c:v>1290</c:v>
                </c:pt>
                <c:pt idx="11">
                  <c:v>1384</c:v>
                </c:pt>
                <c:pt idx="12">
                  <c:v>1600</c:v>
                </c:pt>
                <c:pt idx="13">
                  <c:v>1769</c:v>
                </c:pt>
                <c:pt idx="14">
                  <c:v>2708</c:v>
                </c:pt>
                <c:pt idx="15">
                  <c:v>2751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0531152"/>
        <c:axId val="560531696"/>
      </c:barChart>
      <c:catAx>
        <c:axId val="560531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560531696"/>
        <c:crosses val="autoZero"/>
        <c:auto val="1"/>
        <c:lblAlgn val="ctr"/>
        <c:lblOffset val="100"/>
        <c:noMultiLvlLbl val="0"/>
      </c:catAx>
      <c:valAx>
        <c:axId val="560531696"/>
        <c:scaling>
          <c:orientation val="minMax"/>
          <c:max val="40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605311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0513836384063"/>
          <c:y val="0.82037284626504858"/>
          <c:w val="0.81952740288274672"/>
          <c:h val="0.110232696859831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EC9D9-4BB0-4158-9715-C72E9A60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okresie styczeń-grudzień 2019 roku</vt:lpstr>
    </vt:vector>
  </TitlesOfParts>
  <Company>Główny Urząd Statystyczny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styczniu 2020 roku</dc:title>
  <dc:subject>Budownictwo mieszkaniowe w styczniu 2020 roku</dc:subject>
  <dc:creator>Główny Urząd Statystyczny</dc:creator>
  <cp:keywords>mieszkania oddane do użytkowania; mieszkania w budowie; mieszkania rozpoczęte; pozwolenie na budowę; powierzchnia użytkowa</cp:keywords>
  <cp:lastPrinted>2020-02-20T08:36:00Z</cp:lastPrinted>
  <dcterms:created xsi:type="dcterms:W3CDTF">2020-02-20T08:35:00Z</dcterms:created>
  <dcterms:modified xsi:type="dcterms:W3CDTF">2020-02-20T11:44:00Z</dcterms:modified>
  <cp:category>Budownictwo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